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7"/>
            <wp:cNvGraphicFramePr/>
            <a:graphic>
              <a:graphicData uri="http://schemas.openxmlformats.org/drawingml/2006/picture">
                <pic:pic>
                  <pic:nvPicPr>
                    <pic:cNvPr id="9037" name="banner9037.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8"/>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Manager focuses on investing in a diversified portfolio of global equities. The Fund's investments include investing in shares of companies in all sectors, traded on global exchanges in countries such as Saudi Arabia, USA, China, Japan, Switzerland, UK, France, Germany and Canada. Investing on these exchanges will be in the currency of each country. In addition, the Fund Manager will invest in public and private equity funds managed by fund managers licensed by the Capital Market Authority (CMA) or a similar authority when investing abroad. These funds will include corporate shares of different market values in diverse geographies and sectors. The Fund Manager also intends to invest in intial public offerings (IPOs) listed on different stock exchanges, in addition to subscribing for capital increases of listed companies, as well as unlisted companies planning IPOs, by subscribing for planned IPOs, and investing in cash and cash equivalents in compliance with Shari'ah principles, to achieve long term growth and generate periodic income from the returns on equity shares and capital gain.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12.4039</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w:t>
            </w:r>
          </w:p>
        </w:tc>
        <w:tc>
          <w:tcPr>
            <w:tcW w:type="dxa" w:w="6860"/>
          </w:tcPr>
          <w:p>
            <w:pPr>
              <w:spacing w:before="0" w:after="0" w:line="276" w:lineRule="auto"/>
            </w:pPr>
            <w:r>
              <w:rPr>
                <w:rFonts w:ascii="Arial" w:hAnsi="Arial" w:cs="Arial" w:eastAsia="Arial"/>
                <w:b/>
                <w:bCs/>
                <w:color w:val="0E1E3A"/>
                <w:sz w:val="18"/>
                <w:szCs w:val="18"/>
              </w:rPr>
              <w:t>SAR 794,789,215</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Riyal</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Semi Annual</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0.05%</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 (if any)</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Fund Total Assets as at 30 September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 and the market on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pStyle w:val="Heading3"/>
        <w:keepNext/>
        <w:spacing w:before="160" w:after="100" w:line="300" w:lineRule="auto"/>
      </w:pPr>
      <w:r>
        <w:rPr>
          <w:rFonts w:ascii="Arial" w:hAnsi="Arial" w:cs="Arial" w:eastAsia="Arial"/>
          <w:b/>
          <w:bCs/>
          <w:color w:val="12284B"/>
          <w:sz w:val="22"/>
          <w:szCs w:val="22"/>
        </w:rPr>
        <w:t>Overview of Global Markets</w:t>
      </w:r>
    </w:p>
    <w:p>
      <w:pPr>
        <w:spacing w:before="0" w:after="80" w:line="312" w:lineRule="auto"/>
      </w:pPr>
      <w:r>
        <w:rPr>
          <w:rFonts w:ascii="Arial" w:hAnsi="Arial" w:cs="Arial" w:eastAsia="Arial"/>
          <w:color w:val="0E1E3A"/>
          <w:sz w:val="20"/>
          <w:szCs w:val="20"/>
        </w:rPr>
        <w:t>Global equity markets experienced relative stability due to developments in tariff talks in the United States, improving corporate gains and continued boosting of consumer confidence. The US Fed decreased interest rates by 25 bps, which led to repricing in equity markets with market expectations of further rate decreases. Alkhabeer Global Equities Index rose by +8.10% during the 3 rd Quaterter of 2025, reflecting market optimism and improved market sentiment.</w:t>
      </w:r>
    </w:p>
    <w:p>
      <w:pPr>
        <w:spacing w:before="0" w:after="80" w:line="312" w:lineRule="auto"/>
      </w:pPr>
      <w:r>
        <w:rPr>
          <w:rFonts w:ascii="Arial" w:hAnsi="Arial" w:cs="Arial" w:eastAsia="Arial"/>
          <w:color w:val="0E1E3A"/>
          <w:sz w:val="20"/>
          <w:szCs w:val="20"/>
        </w:rPr>
        <w:t>US Economic indicators were mixed amid constrained unemployment. Unemployment rate rose slightly, supporing expectations of further interest rate decreases during the year. In Europe, results varied, while emerging markets benefited from government support and incentive policies.</w:t>
      </w:r>
    </w:p>
    <w:p>
      <w:pPr>
        <w:spacing w:before="0" w:after="80" w:line="312" w:lineRule="auto"/>
      </w:pPr>
      <w:r>
        <w:rPr>
          <w:rFonts w:ascii="Arial" w:hAnsi="Arial" w:cs="Arial" w:eastAsia="Arial"/>
          <w:color w:val="0E1E3A"/>
          <w:sz w:val="20"/>
          <w:szCs w:val="20"/>
        </w:rPr>
        <w:t>Given geopolitical developmens and the uncertainty associcated with the tariffs, market volatility is expected to persist. Positive developments to ease geopolitical tensions and further rate decreases by central banks, will help support equity markets.</w:t>
      </w:r>
    </w:p>
    <w:p>
      <w:pPr>
        <w:spacing w:before="0" w:after="80" w:line="312" w:lineRule="auto"/>
      </w:pPr>
      <w:r>
        <w:rPr>
          <w:rFonts w:ascii="Arial" w:hAnsi="Arial" w:cs="Arial" w:eastAsia="Arial"/>
          <w:color w:val="0E1E3A"/>
          <w:sz w:val="20"/>
          <w:szCs w:val="20"/>
        </w:rPr>
        <w:t>According to IMF World Economic Outlook, global GDP is expected to grow by 3.1% in Fiscal Year 2026, with advanced economies projected to grow by 1.6%, emerging markets by 4%, the US economy by 2%, the UK economy by 1.4%, the Saudi economy by 3.9%, the Chinese economy by 4.2% and the Indian economy by 6.4% in Fiscal Year 2026.</w:t>
      </w:r>
    </w:p>
    <w:p>
      <w:pPr>
        <w:pStyle w:val="Heading3"/>
        <w:keepNext/>
        <w:spacing w:before="160" w:after="100" w:line="300" w:lineRule="auto"/>
      </w:pPr>
      <w:r>
        <w:rPr>
          <w:rFonts w:ascii="Arial" w:hAnsi="Arial" w:cs="Arial" w:eastAsia="Arial"/>
          <w:b/>
          <w:bCs/>
          <w:color w:val="12284B"/>
          <w:sz w:val="22"/>
          <w:szCs w:val="22"/>
        </w:rPr>
        <w:t>Fund Highlights and Any Fundamental or Non-Fundamental Changes Affecting its Performance</w:t>
      </w:r>
    </w:p>
    <w:p>
      <w:pPr>
        <w:spacing w:before="0" w:after="80" w:line="312" w:lineRule="auto"/>
      </w:pPr>
      <w:r>
        <w:rPr>
          <w:rFonts w:ascii="Arial" w:hAnsi="Arial" w:cs="Arial" w:eastAsia="Arial"/>
          <w:color w:val="0E1E3A"/>
          <w:sz w:val="20"/>
          <w:szCs w:val="20"/>
        </w:rPr>
        <w:t>The Fund Manager would like to clarifiy that the Unitholders' approval of the Fund's purchase of up to a maximumum of 20% of its units for cancellation has ended at the close of trading on Thursday August 28, 2025. Accordingly, the Fund Manger has bought a total of 6,097,864 Units over the entire period. Also, in coordination with Saudi Tadawul Group, the Fund Manager cancelled 6,097,864 Units. This brings the total number of outstanding Fund Units to 63,876,285.</w:t>
      </w:r>
    </w:p>
    <w:p>
      <w:pPr>
        <w:spacing w:before="0" w:after="80" w:line="312" w:lineRule="auto"/>
      </w:pPr>
      <w:r>
        <w:rPr>
          <w:rFonts w:ascii="Arial" w:hAnsi="Arial" w:cs="Arial" w:eastAsia="Arial"/>
          <w:color w:val="0E1E3A"/>
          <w:sz w:val="20"/>
          <w:szCs w:val="20"/>
        </w:rPr>
        <w:t>The Fund Manager also appointed Al-Ahli Capital as Market Maker, effective as of September 3, 2025.</w:t>
      </w:r>
    </w:p>
    <w:p>
      <w:pPr>
        <w:spacing w:before="0" w:after="80" w:line="312" w:lineRule="auto"/>
      </w:pPr>
      <w:r>
        <w:rPr>
          <w:rFonts w:ascii="Arial" w:hAnsi="Arial" w:cs="Arial" w:eastAsia="Arial"/>
          <w:color w:val="0E1E3A"/>
          <w:sz w:val="20"/>
          <w:szCs w:val="20"/>
        </w:rPr>
        <w:t>During the reporting quarter, the Fund Manager distributed dividends for H1 2025 totaling SAR 26,90 million (SAR 0.41 per Unit), in addition to dividend distributions of SAR 38.70 million (SAR 0.59 per Unit) for the period from 27 April 2022 to 31 December 2024. The Fund has, since its inception, distributed dividends totaling in aggregate SAR 2.715 per Unit, or 27.15% of the Initial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42"/>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(September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 (30 September 2025)</w:t>
            </w:r>
          </w:p>
        </w:tc>
        <w:tc>
          <w:tcPr>
            <w:tcW w:type="dxa" w:w="6860"/>
          </w:tcPr>
          <w:p>
            <w:pPr>
              <w:spacing w:before="0" w:after="0" w:line="276" w:lineRule="auto"/>
            </w:pPr>
            <w:r>
              <w:rPr>
                <w:rFonts w:ascii="Arial" w:hAnsi="Arial" w:cs="Arial" w:eastAsia="Arial"/>
                <w:b/>
                <w:bCs/>
                <w:color w:val="0E1E3A"/>
                <w:sz w:val="18"/>
                <w:szCs w:val="18"/>
              </w:rPr>
              <w:t>SAR 9.18</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-4.08%</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63,876,285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792,313,221</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23.86x</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Q3 (September 2025):</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2,546,498</w:t>
            </w:r>
          </w:p>
        </w:tc>
        <w:tc>
          <w:tcPr>
            <w:tcW w:type="dxa" w:w="3326"/>
          </w:tcPr>
          <w:p>
            <w:pPr>
              <w:spacing w:before="0" w:after="0" w:line="264" w:lineRule="auto"/>
            </w:pPr>
            <w:r>
              <w:rPr>
                <w:rFonts w:ascii="Arial" w:hAnsi="Arial" w:cs="Arial" w:eastAsia="Arial"/>
                <w:color w:val="0E1E3A"/>
                <w:sz w:val="17"/>
                <w:szCs w:val="17"/>
              </w:rPr>
              <w:t>0.32%</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 *</w:t>
            </w:r>
          </w:p>
        </w:tc>
        <w:tc>
          <w:tcPr>
            <w:tcW w:type="dxa" w:w="3326"/>
          </w:tcPr>
          <w:p>
            <w:pPr>
              <w:spacing w:before="0" w:after="0" w:line="264" w:lineRule="auto"/>
            </w:pPr>
            <w:r>
              <w:rPr>
                <w:rFonts w:ascii="Arial" w:hAnsi="Arial" w:cs="Arial" w:eastAsia="Arial"/>
                <w:color w:val="0E1E3A"/>
                <w:sz w:val="17"/>
                <w:szCs w:val="17"/>
              </w:rPr>
              <w:t>SAR 80,802</w:t>
            </w:r>
          </w:p>
        </w:tc>
        <w:tc>
          <w:tcPr>
            <w:tcW w:type="dxa" w:w="3326"/>
          </w:tcPr>
          <w:p>
            <w:pPr>
              <w:spacing w:before="0" w:after="0" w:line="264" w:lineRule="auto"/>
            </w:pPr>
            <w:r>
              <w:rPr>
                <w:rFonts w:ascii="Arial" w:hAnsi="Arial" w:cs="Arial" w:eastAsia="Arial"/>
                <w:color w:val="0E1E3A"/>
                <w:sz w:val="17"/>
                <w:szCs w:val="17"/>
              </w:rPr>
              <w:t>0.01%</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Distributed Dividends</w:t>
            </w:r>
          </w:p>
        </w:tc>
        <w:tc>
          <w:tcPr>
            <w:tcW w:type="dxa" w:w="3326"/>
          </w:tcPr>
          <w:p>
            <w:pPr>
              <w:spacing w:before="0" w:after="0" w:line="264" w:lineRule="auto"/>
            </w:pPr>
            <w:r>
              <w:rPr>
                <w:rFonts w:ascii="Arial" w:hAnsi="Arial" w:cs="Arial" w:eastAsia="Arial"/>
                <w:color w:val="0E1E3A"/>
                <w:sz w:val="17"/>
                <w:szCs w:val="17"/>
              </w:rPr>
              <w:t>SAR 65,590,285</w:t>
            </w:r>
          </w:p>
        </w:tc>
        <w:tc>
          <w:tcPr>
            <w:tcW w:type="dxa" w:w="3326"/>
          </w:tcPr>
          <w:p>
            <w:pPr>
              <w:spacing w:before="0" w:after="0" w:line="264" w:lineRule="auto"/>
            </w:pPr>
            <w:r>
              <w:rPr>
                <w:rFonts w:ascii="Arial" w:hAnsi="Arial" w:cs="Arial" w:eastAsia="Arial"/>
                <w:color w:val="0E1E3A"/>
                <w:sz w:val="17"/>
                <w:szCs w:val="17"/>
              </w:rPr>
              <w:t>8.3%</w:t>
            </w:r>
          </w:p>
        </w:tc>
      </w:tr>
    </w:tbl>
    <w:p>
      <w:pPr>
        <w:spacing w:before="0" w:after="40" w:line="300" w:lineRule="auto"/>
      </w:pPr>
    </w:p>
    <w:p>
      <w:pPr>
        <w:spacing w:before="0" w:after="80" w:line="312" w:lineRule="auto"/>
      </w:pPr>
      <w:r>
        <w:rPr>
          <w:rFonts w:ascii="Arial" w:hAnsi="Arial" w:cs="Arial" w:eastAsia="Arial"/>
          <w:color w:val="5A6478"/>
          <w:sz w:val="17"/>
          <w:szCs w:val="17"/>
        </w:rPr>
        <w:t>* Fund's Average Net Asset Value for Q3 = SAR 783,832,477.</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46"/>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0E1E3A"/>
          <w:sz w:val="20"/>
          <w:szCs w:val="20"/>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654270"/>
            <wp:docPr id="12" name="Picture 9048"/>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9"/>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during Q3</w:t>
            </w:r>
          </w:p>
        </w:tc>
        <w:tc>
          <w:tcPr>
            <w:tcW w:type="dxa" w:w="6860"/>
          </w:tcPr>
          <w:p>
            <w:pPr>
              <w:spacing w:before="0" w:after="0" w:line="276" w:lineRule="auto"/>
            </w:pPr>
            <w:r>
              <w:rPr>
                <w:rFonts w:ascii="Arial" w:hAnsi="Arial" w:cs="Arial" w:eastAsia="Arial"/>
                <w:b/>
                <w:bCs/>
                <w:color w:val="0E1E3A"/>
                <w:sz w:val="18"/>
                <w:szCs w:val="18"/>
              </w:rPr>
              <w:t>SAR 65,590,285.00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eligible for Dividends distribution during Q3</w:t>
            </w:r>
          </w:p>
        </w:tc>
        <w:tc>
          <w:tcPr>
            <w:tcW w:type="dxa" w:w="6860"/>
          </w:tcPr>
          <w:p>
            <w:pPr>
              <w:spacing w:before="0" w:after="0" w:line="276" w:lineRule="auto"/>
            </w:pPr>
            <w:r>
              <w:rPr>
                <w:rFonts w:ascii="Arial" w:hAnsi="Arial" w:cs="Arial" w:eastAsia="Arial"/>
                <w:b/>
                <w:bCs/>
                <w:color w:val="0E1E3A"/>
                <w:sz w:val="18"/>
                <w:szCs w:val="18"/>
              </w:rPr>
              <w:t>65,590,285 Units</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during Q3</w:t>
            </w:r>
          </w:p>
        </w:tc>
        <w:tc>
          <w:tcPr>
            <w:tcW w:type="dxa" w:w="6860"/>
          </w:tcPr>
          <w:p>
            <w:pPr>
              <w:spacing w:before="0" w:after="0" w:line="276" w:lineRule="auto"/>
            </w:pPr>
            <w:r>
              <w:rPr>
                <w:rFonts w:ascii="Arial" w:hAnsi="Arial" w:cs="Arial" w:eastAsia="Arial"/>
                <w:b/>
                <w:bCs/>
                <w:color w:val="0E1E3A"/>
                <w:sz w:val="18"/>
                <w:szCs w:val="18"/>
              </w:rPr>
              <w:t>SAR 1.00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8.3%</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According to the Unitholders' Register as at Close of Business on Tuesday, August 5, 2025</w:t>
            </w:r>
          </w:p>
        </w:tc>
      </w:tr>
    </w:tbl>
    <w:p>
      <w:pPr>
        <w:spacing w:before="0" w:after="40" w:line="300" w:lineRule="auto"/>
      </w:pPr>
    </w:p>
    <w:p>
      <w:pPr>
        <w:spacing w:before="0" w:after="80" w:line="312" w:lineRule="auto"/>
      </w:pPr>
      <w:r>
        <w:rPr>
          <w:rFonts w:ascii="Arial" w:hAnsi="Arial" w:cs="Arial" w:eastAsia="Arial"/>
          <w:color w:val="5A6478"/>
          <w:sz w:val="17"/>
          <w:szCs w:val="17"/>
        </w:rPr>
        <w:t>Distributions for the Period from 1 January 2025 to 30 June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51"/>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2644757"/>
            <wp:docPr id="16" name="Picture 9052"/>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2644757"/>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53"/>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Q3)</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 *</w:t>
            </w:r>
          </w:p>
        </w:tc>
        <w:tc>
          <w:tcPr>
            <w:tcW w:type="dxa" w:w="1663"/>
          </w:tcPr>
          <w:p>
            <w:pPr>
              <w:spacing w:before="0" w:after="0" w:line="264" w:lineRule="auto"/>
            </w:pPr>
            <w:r>
              <w:rPr>
                <w:rFonts w:ascii="Arial" w:hAnsi="Arial" w:cs="Arial" w:eastAsia="Arial"/>
                <w:color w:val="0E1E3A"/>
                <w:sz w:val="17"/>
                <w:szCs w:val="17"/>
              </w:rPr>
              <w:t>8.41%</w:t>
            </w:r>
          </w:p>
        </w:tc>
        <w:tc>
          <w:tcPr>
            <w:tcW w:type="dxa" w:w="1663"/>
          </w:tcPr>
          <w:p>
            <w:pPr>
              <w:spacing w:before="0" w:after="0" w:line="264" w:lineRule="auto"/>
            </w:pPr>
            <w:r>
              <w:rPr>
                <w:rFonts w:ascii="Arial" w:hAnsi="Arial" w:cs="Arial" w:eastAsia="Arial"/>
                <w:color w:val="0E1E3A"/>
                <w:sz w:val="17"/>
                <w:szCs w:val="17"/>
              </w:rPr>
              <w:t>16.36%</w:t>
            </w:r>
          </w:p>
        </w:tc>
        <w:tc>
          <w:tcPr>
            <w:tcW w:type="dxa" w:w="1663"/>
          </w:tcPr>
          <w:p>
            <w:pPr>
              <w:spacing w:before="0" w:after="0" w:line="264" w:lineRule="auto"/>
            </w:pPr>
            <w:r>
              <w:rPr>
                <w:rFonts w:ascii="Arial" w:hAnsi="Arial" w:cs="Arial" w:eastAsia="Arial"/>
                <w:color w:val="0E1E3A"/>
                <w:sz w:val="17"/>
                <w:szCs w:val="17"/>
              </w:rPr>
              <w:t>12.81%</w:t>
            </w:r>
          </w:p>
        </w:tc>
        <w:tc>
          <w:tcPr>
            <w:tcW w:type="dxa" w:w="1663"/>
          </w:tcPr>
          <w:p>
            <w:pPr>
              <w:spacing w:before="0" w:after="0" w:line="264" w:lineRule="auto"/>
            </w:pPr>
            <w:r>
              <w:rPr>
                <w:rFonts w:ascii="Arial" w:hAnsi="Arial" w:cs="Arial" w:eastAsia="Arial"/>
                <w:color w:val="0E1E3A"/>
                <w:sz w:val="17"/>
                <w:szCs w:val="17"/>
              </w:rPr>
              <w:t>79.38%</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8.10%</w:t>
            </w:r>
          </w:p>
        </w:tc>
        <w:tc>
          <w:tcPr>
            <w:tcW w:type="dxa" w:w="1663"/>
          </w:tcPr>
          <w:p>
            <w:pPr>
              <w:spacing w:before="0" w:after="0" w:line="264" w:lineRule="auto"/>
            </w:pPr>
            <w:r>
              <w:rPr>
                <w:rFonts w:ascii="Arial" w:hAnsi="Arial" w:cs="Arial" w:eastAsia="Arial"/>
                <w:color w:val="0E1E3A"/>
                <w:sz w:val="17"/>
                <w:szCs w:val="17"/>
              </w:rPr>
              <w:t>14.59%</w:t>
            </w:r>
          </w:p>
        </w:tc>
        <w:tc>
          <w:tcPr>
            <w:tcW w:type="dxa" w:w="1663"/>
          </w:tcPr>
          <w:p>
            <w:pPr>
              <w:spacing w:before="0" w:after="0" w:line="264" w:lineRule="auto"/>
            </w:pPr>
            <w:r>
              <w:rPr>
                <w:rFonts w:ascii="Arial" w:hAnsi="Arial" w:cs="Arial" w:eastAsia="Arial"/>
                <w:color w:val="0E1E3A"/>
                <w:sz w:val="17"/>
                <w:szCs w:val="17"/>
              </w:rPr>
              <w:t>10.46%</w:t>
            </w:r>
          </w:p>
        </w:tc>
        <w:tc>
          <w:tcPr>
            <w:tcW w:type="dxa" w:w="1663"/>
          </w:tcPr>
          <w:p>
            <w:pPr>
              <w:spacing w:before="0" w:after="0" w:line="264" w:lineRule="auto"/>
            </w:pPr>
            <w:r>
              <w:rPr>
                <w:rFonts w:ascii="Arial" w:hAnsi="Arial" w:cs="Arial" w:eastAsia="Arial"/>
                <w:color w:val="0E1E3A"/>
                <w:sz w:val="17"/>
                <w:szCs w:val="17"/>
              </w:rPr>
              <w:t>66.68%</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0.31%</w:t>
            </w:r>
          </w:p>
        </w:tc>
        <w:tc>
          <w:tcPr>
            <w:tcW w:type="dxa" w:w="1663"/>
          </w:tcPr>
          <w:p>
            <w:pPr>
              <w:spacing w:before="0" w:after="0" w:line="264" w:lineRule="auto"/>
            </w:pPr>
            <w:r>
              <w:rPr>
                <w:rFonts w:ascii="Arial" w:hAnsi="Arial" w:cs="Arial" w:eastAsia="Arial"/>
                <w:color w:val="0E1E3A"/>
                <w:sz w:val="17"/>
                <w:szCs w:val="17"/>
              </w:rPr>
              <w:t>1.77%</w:t>
            </w:r>
          </w:p>
        </w:tc>
        <w:tc>
          <w:tcPr>
            <w:tcW w:type="dxa" w:w="1663"/>
          </w:tcPr>
          <w:p>
            <w:pPr>
              <w:spacing w:before="0" w:after="0" w:line="264" w:lineRule="auto"/>
            </w:pPr>
            <w:r>
              <w:rPr>
                <w:rFonts w:ascii="Arial" w:hAnsi="Arial" w:cs="Arial" w:eastAsia="Arial"/>
                <w:color w:val="0E1E3A"/>
                <w:sz w:val="17"/>
                <w:szCs w:val="17"/>
              </w:rPr>
              <w:t>2.35%</w:t>
            </w:r>
          </w:p>
        </w:tc>
        <w:tc>
          <w:tcPr>
            <w:tcW w:type="dxa" w:w="1663"/>
          </w:tcPr>
          <w:p>
            <w:pPr>
              <w:spacing w:before="0" w:after="0" w:line="264" w:lineRule="auto"/>
            </w:pPr>
            <w:r>
              <w:rPr>
                <w:rFonts w:ascii="Arial" w:hAnsi="Arial" w:cs="Arial" w:eastAsia="Arial"/>
                <w:color w:val="0E1E3A"/>
                <w:sz w:val="17"/>
                <w:szCs w:val="17"/>
              </w:rPr>
              <w:t>12.70%</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 per Unit Price Performance plus Dividends.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5"/>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Q3)</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8.60</w:t>
            </w:r>
          </w:p>
        </w:tc>
        <w:tc>
          <w:tcPr>
            <w:tcW w:type="dxa" w:w="1663"/>
          </w:tcPr>
          <w:p>
            <w:pPr>
              <w:spacing w:before="0" w:after="0" w:line="264" w:lineRule="auto"/>
            </w:pPr>
            <w:r>
              <w:rPr>
                <w:rFonts w:ascii="Arial" w:hAnsi="Arial" w:cs="Arial" w:eastAsia="Arial"/>
                <w:color w:val="0E1E3A"/>
                <w:sz w:val="17"/>
                <w:szCs w:val="17"/>
              </w:rPr>
              <w:t>16.00</w:t>
            </w:r>
          </w:p>
        </w:tc>
        <w:tc>
          <w:tcPr>
            <w:tcW w:type="dxa" w:w="1663"/>
          </w:tcPr>
          <w:p>
            <w:pPr>
              <w:spacing w:before="0" w:after="0" w:line="264" w:lineRule="auto"/>
            </w:pPr>
            <w:r>
              <w:rPr>
                <w:rFonts w:ascii="Arial" w:hAnsi="Arial" w:cs="Arial" w:eastAsia="Arial"/>
                <w:color w:val="0E1E3A"/>
                <w:sz w:val="17"/>
                <w:szCs w:val="17"/>
              </w:rPr>
              <w:t>14.61</w:t>
            </w:r>
          </w:p>
        </w:tc>
        <w:tc>
          <w:tcPr>
            <w:tcW w:type="dxa" w:w="1663"/>
          </w:tcPr>
          <w:p>
            <w:pPr>
              <w:spacing w:before="0" w:after="0" w:line="264" w:lineRule="auto"/>
            </w:pPr>
            <w:r>
              <w:rPr>
                <w:rFonts w:ascii="Arial" w:hAnsi="Arial" w:cs="Arial" w:eastAsia="Arial"/>
                <w:color w:val="0E1E3A"/>
                <w:sz w:val="17"/>
                <w:szCs w:val="17"/>
              </w:rPr>
              <w:t>12.75</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3.65</w:t>
            </w:r>
          </w:p>
        </w:tc>
        <w:tc>
          <w:tcPr>
            <w:tcW w:type="dxa" w:w="1663"/>
          </w:tcPr>
          <w:p>
            <w:pPr>
              <w:spacing w:before="0" w:after="0" w:line="264" w:lineRule="auto"/>
            </w:pPr>
            <w:r>
              <w:rPr>
                <w:rFonts w:ascii="Arial" w:hAnsi="Arial" w:cs="Arial" w:eastAsia="Arial"/>
                <w:color w:val="0E1E3A"/>
                <w:sz w:val="17"/>
                <w:szCs w:val="17"/>
              </w:rPr>
              <w:t>1.09</w:t>
            </w:r>
          </w:p>
        </w:tc>
        <w:tc>
          <w:tcPr>
            <w:tcW w:type="dxa" w:w="1663"/>
          </w:tcPr>
          <w:p>
            <w:pPr>
              <w:spacing w:before="0" w:after="0" w:line="264" w:lineRule="auto"/>
            </w:pPr>
            <w:r>
              <w:rPr>
                <w:rFonts w:ascii="Arial" w:hAnsi="Arial" w:cs="Arial" w:eastAsia="Arial"/>
                <w:color w:val="0E1E3A"/>
                <w:sz w:val="17"/>
                <w:szCs w:val="17"/>
              </w:rPr>
              <w:t>0.56</w:t>
            </w:r>
          </w:p>
        </w:tc>
        <w:tc>
          <w:tcPr>
            <w:tcW w:type="dxa" w:w="1663"/>
          </w:tcPr>
          <w:p>
            <w:pPr>
              <w:spacing w:before="0" w:after="0" w:line="264" w:lineRule="auto"/>
            </w:pPr>
            <w:r>
              <w:rPr>
                <w:rFonts w:ascii="Arial" w:hAnsi="Arial" w:cs="Arial" w:eastAsia="Arial"/>
                <w:color w:val="0E1E3A"/>
                <w:sz w:val="17"/>
                <w:szCs w:val="17"/>
              </w:rPr>
              <w:t>1.07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1.47</w:t>
            </w:r>
          </w:p>
        </w:tc>
        <w:tc>
          <w:tcPr>
            <w:tcW w:type="dxa" w:w="1663"/>
          </w:tcPr>
          <w:p>
            <w:pPr>
              <w:spacing w:before="0" w:after="0" w:line="264" w:lineRule="auto"/>
            </w:pPr>
            <w:r>
              <w:rPr>
                <w:rFonts w:ascii="Arial" w:hAnsi="Arial" w:cs="Arial" w:eastAsia="Arial"/>
                <w:color w:val="0E1E3A"/>
                <w:sz w:val="17"/>
                <w:szCs w:val="17"/>
              </w:rPr>
              <w:t>3.71</w:t>
            </w:r>
          </w:p>
        </w:tc>
        <w:tc>
          <w:tcPr>
            <w:tcW w:type="dxa" w:w="1663"/>
          </w:tcPr>
          <w:p>
            <w:pPr>
              <w:spacing w:before="0" w:after="0" w:line="264" w:lineRule="auto"/>
            </w:pPr>
            <w:r>
              <w:rPr>
                <w:rFonts w:ascii="Arial" w:hAnsi="Arial" w:cs="Arial" w:eastAsia="Arial"/>
                <w:color w:val="0E1E3A"/>
                <w:sz w:val="17"/>
                <w:szCs w:val="17"/>
              </w:rPr>
              <w:t>3.30</w:t>
            </w:r>
          </w:p>
        </w:tc>
        <w:tc>
          <w:tcPr>
            <w:tcW w:type="dxa" w:w="1663"/>
          </w:tcPr>
          <w:p>
            <w:pPr>
              <w:spacing w:before="0" w:after="0" w:line="264" w:lineRule="auto"/>
            </w:pPr>
            <w:r>
              <w:rPr>
                <w:rFonts w:ascii="Arial" w:hAnsi="Arial" w:cs="Arial" w:eastAsia="Arial"/>
                <w:color w:val="0E1E3A"/>
                <w:sz w:val="17"/>
                <w:szCs w:val="17"/>
              </w:rPr>
              <w:t>7.26</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0.97</w:t>
            </w:r>
          </w:p>
        </w:tc>
        <w:tc>
          <w:tcPr>
            <w:tcW w:type="dxa" w:w="1663"/>
          </w:tcPr>
          <w:p>
            <w:pPr>
              <w:spacing w:before="0" w:after="0" w:line="264" w:lineRule="auto"/>
            </w:pPr>
            <w:r>
              <w:rPr>
                <w:rFonts w:ascii="Arial" w:hAnsi="Arial" w:cs="Arial" w:eastAsia="Arial"/>
                <w:color w:val="0E1E3A"/>
                <w:sz w:val="17"/>
                <w:szCs w:val="17"/>
              </w:rPr>
              <w:t>0.95</w:t>
            </w:r>
          </w:p>
        </w:tc>
        <w:tc>
          <w:tcPr>
            <w:tcW w:type="dxa" w:w="1663"/>
          </w:tcPr>
          <w:p>
            <w:pPr>
              <w:spacing w:before="0" w:after="0" w:line="264" w:lineRule="auto"/>
            </w:pPr>
            <w:r>
              <w:rPr>
                <w:rFonts w:ascii="Arial" w:hAnsi="Arial" w:cs="Arial" w:eastAsia="Arial"/>
                <w:color w:val="0E1E3A"/>
                <w:sz w:val="17"/>
                <w:szCs w:val="17"/>
              </w:rPr>
              <w:t>0.95</w:t>
            </w:r>
          </w:p>
        </w:tc>
        <w:tc>
          <w:tcPr>
            <w:tcW w:type="dxa" w:w="1663"/>
          </w:tcPr>
          <w:p>
            <w:pPr>
              <w:spacing w:before="0" w:after="0" w:line="264" w:lineRule="auto"/>
            </w:pPr>
            <w:r>
              <w:rPr>
                <w:rFonts w:ascii="Arial" w:hAnsi="Arial" w:cs="Arial" w:eastAsia="Arial"/>
                <w:color w:val="0E1E3A"/>
                <w:sz w:val="17"/>
                <w:szCs w:val="17"/>
              </w:rPr>
              <w:t>0.83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1.43%</w:t>
            </w:r>
          </w:p>
        </w:tc>
        <w:tc>
          <w:tcPr>
            <w:tcW w:type="dxa" w:w="1663"/>
          </w:tcPr>
          <w:p>
            <w:pPr>
              <w:spacing w:before="0" w:after="0" w:line="264" w:lineRule="auto"/>
            </w:pPr>
            <w:r>
              <w:rPr>
                <w:rFonts w:ascii="Arial" w:hAnsi="Arial" w:cs="Arial" w:eastAsia="Arial"/>
                <w:color w:val="0E1E3A"/>
                <w:sz w:val="17"/>
                <w:szCs w:val="17"/>
              </w:rPr>
              <w:t>1.89%</w:t>
            </w:r>
          </w:p>
        </w:tc>
        <w:tc>
          <w:tcPr>
            <w:tcW w:type="dxa" w:w="1663"/>
          </w:tcPr>
          <w:p>
            <w:pPr>
              <w:spacing w:before="0" w:after="0" w:line="264" w:lineRule="auto"/>
            </w:pPr>
            <w:r>
              <w:rPr>
                <w:rFonts w:ascii="Arial" w:hAnsi="Arial" w:cs="Arial" w:eastAsia="Arial"/>
                <w:color w:val="0E1E3A"/>
                <w:sz w:val="17"/>
                <w:szCs w:val="17"/>
              </w:rPr>
              <w:t>1.95%</w:t>
            </w:r>
          </w:p>
        </w:tc>
        <w:tc>
          <w:tcPr>
            <w:tcW w:type="dxa" w:w="1663"/>
          </w:tcPr>
          <w:p>
            <w:pPr>
              <w:spacing w:before="0" w:after="0" w:line="264" w:lineRule="auto"/>
            </w:pPr>
            <w:r>
              <w:rPr>
                <w:rFonts w:ascii="Arial" w:hAnsi="Arial" w:cs="Arial" w:eastAsia="Arial"/>
                <w:color w:val="0E1E3A"/>
                <w:sz w:val="17"/>
                <w:szCs w:val="17"/>
              </w:rPr>
              <w:t>2.37%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0.97</w:t>
            </w:r>
          </w:p>
        </w:tc>
        <w:tc>
          <w:tcPr>
            <w:tcW w:type="dxa" w:w="1663"/>
          </w:tcPr>
          <w:p>
            <w:pPr>
              <w:spacing w:before="0" w:after="0" w:line="264" w:lineRule="auto"/>
            </w:pPr>
            <w:r>
              <w:rPr>
                <w:rFonts w:ascii="Arial" w:hAnsi="Arial" w:cs="Arial" w:eastAsia="Arial"/>
                <w:color w:val="0E1E3A"/>
                <w:sz w:val="17"/>
                <w:szCs w:val="17"/>
              </w:rPr>
              <w:t>0.51</w:t>
            </w:r>
          </w:p>
        </w:tc>
        <w:tc>
          <w:tcPr>
            <w:tcW w:type="dxa" w:w="1663"/>
          </w:tcPr>
          <w:p>
            <w:pPr>
              <w:spacing w:before="0" w:after="0" w:line="264" w:lineRule="auto"/>
            </w:pPr>
            <w:r>
              <w:rPr>
                <w:rFonts w:ascii="Arial" w:hAnsi="Arial" w:cs="Arial" w:eastAsia="Arial"/>
                <w:color w:val="0E1E3A"/>
                <w:sz w:val="17"/>
                <w:szCs w:val="17"/>
              </w:rPr>
              <w:t>0.59</w:t>
            </w:r>
          </w:p>
        </w:tc>
        <w:tc>
          <w:tcPr>
            <w:tcW w:type="dxa" w:w="1663"/>
          </w:tcPr>
          <w:p>
            <w:pPr>
              <w:spacing w:before="0" w:after="0" w:line="264" w:lineRule="auto"/>
            </w:pPr>
            <w:r>
              <w:rPr>
                <w:rFonts w:ascii="Arial" w:hAnsi="Arial" w:cs="Arial" w:eastAsia="Arial"/>
                <w:color w:val="0E1E3A"/>
                <w:sz w:val="17"/>
                <w:szCs w:val="17"/>
              </w:rPr>
              <w:t>0.33</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6"/>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Peformance as of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2" name="Picture 9058"/>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3072864"/>
                    </a:xfrm>
                    <a:prstGeom prst="rect"/>
                  </pic:spPr>
                </pic:pic>
              </a:graphicData>
            </a:graphic>
          </wp:inline>
        </w:drawing>
      </w:r>
    </w:p>
    <w:p>
      <w:pPr>
        <w:spacing w:before="0" w:after="80" w:line="312" w:lineRule="auto"/>
      </w:pPr>
      <w:r>
        <w:rPr>
          <w:rFonts w:ascii="Arial" w:hAnsi="Arial" w:cs="Arial" w:eastAsia="Arial"/>
          <w:color w:val="5A6478"/>
          <w:sz w:val="17"/>
          <w:szCs w:val="17"/>
        </w:rPr>
        <w:t>As at 30 September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9"/>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60"/>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Q3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