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0" w:line="20" w:lineRule="exact"/>
        <w:rPr>
          <w:sz w:val="2"/>
          <w:szCs w:val="2"/>
        </w:rPr>
      </w:pPr>
      <w:r>
        <w:rPr>
          <w:sz w:val="2"/>
        </w:rPr>
        <w:drawing>
          <wp:anchor xmlns:a="http://schemas.openxmlformats.org/drawingml/2006/main" xmlns:pic="http://schemas.openxmlformats.org/drawingml/2006/picture" distT="0" distB="216000" distL="0" distR="0" simplePos="0" relativeHeight="2" behindDoc="0" locked="1" layoutInCell="1" allowOverlap="0">
            <wp:simplePos x="0" y="0"/>
            <wp:positionH relativeFrom="page">
              <wp:posOffset>0</wp:posOffset>
            </wp:positionH>
            <wp:positionV relativeFrom="page">
              <wp:posOffset>0</wp:posOffset>
            </wp:positionV>
            <wp:extent cx="7560000" cy="3132544"/>
            <wp:effectExtent l="0" t="0" r="0" b="0"/>
            <wp:wrapTopAndBottom/>
            <wp:docPr id="1" name="Banner 9032"/>
            <wp:cNvGraphicFramePr/>
            <a:graphic>
              <a:graphicData uri="http://schemas.openxmlformats.org/drawingml/2006/picture">
                <pic:pic>
                  <pic:nvPicPr>
                    <pic:cNvPr id="9032" name="banner9032.jpg"/>
                    <pic:cNvPicPr/>
                  </pic:nvPicPr>
                  <pic:blipFill>
                    <a:blip r:embed="rId13"/>
                    <a:stretch>
                      <a:fillRect/>
                    </a:stretch>
                  </pic:blipFill>
                  <pic:spPr>
                    <a:xfrm>
                      <a:off x="0" y="0"/>
                      <a:ext cx="7560000" cy="3132544"/>
                    </a:xfrm>
                    <a:prstGeom prst="rect">
                      <a:avLst/>
                    </a:prstGeom>
                  </pic:spPr>
                </pic:pic>
              </a:graphicData>
            </a:graphic>
          </wp:anchor>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 name="Picture 9033"/>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نبذة عامة عن الصندوق</w:t>
      </w:r>
    </w:p>
    <w:p>
      <w:pPr>
        <w:bidi w:val="1"/>
        <w:spacing w:before="0" w:after="80" w:line="312" w:lineRule="auto"/>
      </w:pPr>
      <w:r>
        <w:rPr>
          <w:rFonts w:ascii="Arial" w:hAnsi="Arial" w:cs="Arial" w:eastAsia="Arial"/>
          <w:color w:val="0E1E3A"/>
          <w:sz w:val="20"/>
          <w:szCs w:val="20"/>
          <w:rtl/>
        </w:rPr>
        <w:t>صندوق "الخبير للنمو والدخل المتداول"، هو صندوق استثمار أسهم عام متداول مغلق متوافق مع ضوابط الهيئة الشرعية، تم إنشاؤه بموجب الأنظمة واللوائح المعمول بها في المملكة ويخضع لرقابة وإشراف هيئة السوق المالية. ويتمثل الهدف الاستثماري للصندوق في تنمية صافي قيمة أصول الصندوق من خلال أداء استثماراته على المدى الطويل وتحقيق دخل دوري للمستثمرين من خلال توزيع عوائد الشركات التي يستثمر بها الصندوق، بالإضافة إلى جزء من الأرباح الرأسمالية الناتجة عن نمو القيمة السوقية للأوراق المالية المستثمر بها. حيث يتم ذلك عن طريق الاستثمار في محفظة متنوعة من الأسهم العالمية، وصناديق الأسهم العامة والخاصة، وطروحات الشركات للاكتتاب العام، والطروحات الخاصة والنقد وما في حكمه.</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3" name="Picture 9034"/>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البيانات الأساسية للصندوق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رمز التداول</w:t>
            </w:r>
          </w:p>
        </w:tc>
        <w:tc>
          <w:tcPr>
            <w:tcW w:type="dxa" w:w="6860"/>
          </w:tcPr>
          <w:p>
            <w:pPr>
              <w:bidi w:val="1"/>
              <w:spacing w:before="0" w:after="0" w:line="276" w:lineRule="auto"/>
            </w:pPr>
            <w:r>
              <w:rPr>
                <w:rFonts w:ascii="Arial" w:hAnsi="Arial" w:cs="Arial" w:eastAsia="Arial"/>
                <w:b/>
                <w:bCs/>
                <w:color w:val="0E1E3A"/>
                <w:sz w:val="18"/>
                <w:szCs w:val="18"/>
                <w:rtl/>
              </w:rPr>
              <w:t>4701</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رمز بلومبرغ</w:t>
            </w:r>
          </w:p>
        </w:tc>
        <w:tc>
          <w:tcPr>
            <w:tcW w:type="dxa" w:w="6860"/>
          </w:tcPr>
          <w:p>
            <w:pPr>
              <w:bidi w:val="1"/>
              <w:spacing w:before="0" w:after="0" w:line="276" w:lineRule="auto"/>
            </w:pPr>
            <w:r>
              <w:rPr>
                <w:rFonts w:ascii="Arial" w:hAnsi="Arial" w:cs="Arial" w:eastAsia="Arial"/>
                <w:b/>
                <w:bCs/>
                <w:color w:val="0E1E3A"/>
                <w:sz w:val="18"/>
                <w:szCs w:val="18"/>
                <w:rtl/>
              </w:rPr>
              <w:t>AKGRINF AB EQUITY</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نوع الصندوق</w:t>
            </w:r>
          </w:p>
        </w:tc>
        <w:tc>
          <w:tcPr>
            <w:tcW w:type="dxa" w:w="6860"/>
          </w:tcPr>
          <w:p>
            <w:pPr>
              <w:bidi w:val="1"/>
              <w:spacing w:before="0" w:after="0" w:line="276" w:lineRule="auto"/>
            </w:pPr>
            <w:r>
              <w:rPr>
                <w:rFonts w:ascii="Arial" w:hAnsi="Arial" w:cs="Arial" w:eastAsia="Arial"/>
                <w:b/>
                <w:bCs/>
                <w:color w:val="0E1E3A"/>
                <w:sz w:val="18"/>
                <w:szCs w:val="18"/>
                <w:rtl/>
              </w:rPr>
              <w:t>صندوق استثمار أسهم عام متداول مغلق</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تاريخ الإدراج</w:t>
            </w:r>
          </w:p>
        </w:tc>
        <w:tc>
          <w:tcPr>
            <w:tcW w:type="dxa" w:w="6860"/>
          </w:tcPr>
          <w:p>
            <w:pPr>
              <w:bidi w:val="1"/>
              <w:spacing w:before="0" w:after="0" w:line="276" w:lineRule="auto"/>
            </w:pPr>
            <w:r>
              <w:rPr>
                <w:rFonts w:ascii="Arial" w:hAnsi="Arial" w:cs="Arial" w:eastAsia="Arial"/>
                <w:b/>
                <w:bCs/>
                <w:color w:val="0E1E3A"/>
                <w:sz w:val="18"/>
                <w:szCs w:val="18"/>
                <w:rtl/>
              </w:rPr>
              <w:t>27 أبريل 2022م</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مدة الصندوق</w:t>
            </w:r>
          </w:p>
        </w:tc>
        <w:tc>
          <w:tcPr>
            <w:tcW w:type="dxa" w:w="6860"/>
          </w:tcPr>
          <w:p>
            <w:pPr>
              <w:bidi w:val="1"/>
              <w:spacing w:before="0" w:after="0" w:line="276" w:lineRule="auto"/>
            </w:pPr>
            <w:r>
              <w:rPr>
                <w:rFonts w:ascii="Arial" w:hAnsi="Arial" w:cs="Arial" w:eastAsia="Arial"/>
                <w:b/>
                <w:bCs/>
                <w:color w:val="0E1E3A"/>
                <w:sz w:val="18"/>
                <w:szCs w:val="18"/>
                <w:rtl/>
              </w:rPr>
              <w:t>99 سنة تبدأ من تاريخ الإدراج، قابلة للتمديد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صافي قيمة الوحدة</w:t>
            </w:r>
          </w:p>
        </w:tc>
        <w:tc>
          <w:tcPr>
            <w:tcW w:type="dxa" w:w="6860"/>
          </w:tcPr>
          <w:p>
            <w:pPr>
              <w:bidi w:val="1"/>
              <w:spacing w:before="0" w:after="0" w:line="276" w:lineRule="auto"/>
            </w:pPr>
            <w:r>
              <w:rPr>
                <w:rFonts w:ascii="Arial" w:hAnsi="Arial" w:cs="Arial" w:eastAsia="Arial"/>
                <w:b/>
                <w:bCs/>
                <w:color w:val="0E1E3A"/>
                <w:sz w:val="18"/>
                <w:szCs w:val="18"/>
                <w:rtl/>
              </w:rPr>
              <w:t>9.4409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حجم أصول الصندوق *</w:t>
            </w:r>
          </w:p>
        </w:tc>
        <w:tc>
          <w:tcPr>
            <w:tcW w:type="dxa" w:w="6860"/>
          </w:tcPr>
          <w:p>
            <w:pPr>
              <w:bidi w:val="1"/>
              <w:spacing w:before="0" w:after="0" w:line="276" w:lineRule="auto"/>
            </w:pPr>
            <w:r>
              <w:rPr>
                <w:rFonts w:ascii="Arial" w:hAnsi="Arial" w:cs="Arial" w:eastAsia="Arial"/>
                <w:b/>
                <w:bCs/>
                <w:color w:val="0E1E3A"/>
                <w:sz w:val="18"/>
                <w:szCs w:val="18"/>
                <w:rtl/>
              </w:rPr>
              <w:t>949,459,719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رأس مال الصندوق</w:t>
            </w:r>
          </w:p>
        </w:tc>
        <w:tc>
          <w:tcPr>
            <w:tcW w:type="dxa" w:w="6860"/>
          </w:tcPr>
          <w:p>
            <w:pPr>
              <w:bidi w:val="1"/>
              <w:spacing w:before="0" w:after="0" w:line="276" w:lineRule="auto"/>
            </w:pPr>
            <w:r>
              <w:rPr>
                <w:rFonts w:ascii="Arial" w:hAnsi="Arial" w:cs="Arial" w:eastAsia="Arial"/>
                <w:b/>
                <w:bCs/>
                <w:color w:val="0E1E3A"/>
                <w:sz w:val="18"/>
                <w:szCs w:val="18"/>
                <w:rtl/>
              </w:rPr>
              <w:t>مليار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قيمة الاقتراض *</w:t>
            </w:r>
          </w:p>
        </w:tc>
        <w:tc>
          <w:tcPr>
            <w:tcW w:type="dxa" w:w="6860"/>
          </w:tcPr>
          <w:p>
            <w:pPr>
              <w:bidi w:val="1"/>
              <w:spacing w:before="0" w:after="0" w:line="276" w:lineRule="auto"/>
            </w:pPr>
            <w:r>
              <w:rPr>
                <w:rFonts w:ascii="Arial" w:hAnsi="Arial" w:cs="Arial" w:eastAsia="Arial"/>
                <w:b/>
                <w:bCs/>
                <w:color w:val="0E1E3A"/>
                <w:sz w:val="18"/>
                <w:szCs w:val="18"/>
                <w:rtl/>
              </w:rPr>
              <w:t>0.00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الاقتراض من القيمة الإجمالية لأصول الصندوق</w:t>
            </w:r>
          </w:p>
        </w:tc>
        <w:tc>
          <w:tcPr>
            <w:tcW w:type="dxa" w:w="6860"/>
          </w:tcPr>
          <w:p>
            <w:pPr>
              <w:bidi w:val="1"/>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الاقتراض من قيمة صافي أصول الصندوق في نهاية الربع المعني</w:t>
            </w:r>
          </w:p>
        </w:tc>
        <w:tc>
          <w:tcPr>
            <w:tcW w:type="dxa" w:w="6860"/>
          </w:tcPr>
          <w:p>
            <w:pPr>
              <w:bidi w:val="1"/>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قيمة استثمار مدير الصندوق من صافي قيمة أصول الصندوق في نهاية الربع المعني</w:t>
            </w:r>
          </w:p>
        </w:tc>
        <w:tc>
          <w:tcPr>
            <w:tcW w:type="dxa" w:w="6860"/>
          </w:tcPr>
          <w:p>
            <w:pPr>
              <w:bidi w:val="1"/>
              <w:spacing w:before="0" w:after="0" w:line="276" w:lineRule="auto"/>
            </w:pPr>
            <w:r>
              <w:rPr>
                <w:rFonts w:ascii="Arial" w:hAnsi="Arial" w:cs="Arial" w:eastAsia="Arial"/>
                <w:b/>
                <w:bCs/>
                <w:color w:val="0E1E3A"/>
                <w:sz w:val="18"/>
                <w:szCs w:val="18"/>
                <w:rtl/>
              </w:rPr>
              <w:t>لا يوجد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استثمار مدير الصندوق من صافي قيمة أصول الصندوق في نهاية الربع المعني</w:t>
            </w:r>
          </w:p>
        </w:tc>
        <w:tc>
          <w:tcPr>
            <w:tcW w:type="dxa" w:w="6860"/>
          </w:tcPr>
          <w:p>
            <w:pPr>
              <w:bidi w:val="1"/>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مستوى المخاطر</w:t>
            </w:r>
          </w:p>
        </w:tc>
        <w:tc>
          <w:tcPr>
            <w:tcW w:type="dxa" w:w="6860"/>
          </w:tcPr>
          <w:p>
            <w:pPr>
              <w:bidi w:val="1"/>
              <w:spacing w:before="0" w:after="0" w:line="276" w:lineRule="auto"/>
            </w:pPr>
            <w:r>
              <w:rPr>
                <w:rFonts w:ascii="Arial" w:hAnsi="Arial" w:cs="Arial" w:eastAsia="Arial"/>
                <w:b/>
                <w:bCs/>
                <w:color w:val="0E1E3A"/>
                <w:sz w:val="18"/>
                <w:szCs w:val="18"/>
                <w:rtl/>
              </w:rPr>
              <w:t>مرتفع</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عملة الصندوق</w:t>
            </w:r>
          </w:p>
        </w:tc>
        <w:tc>
          <w:tcPr>
            <w:tcW w:type="dxa" w:w="6860"/>
          </w:tcPr>
          <w:p>
            <w:pPr>
              <w:bidi w:val="1"/>
              <w:spacing w:before="0" w:after="0" w:line="276" w:lineRule="auto"/>
            </w:pPr>
            <w:r>
              <w:rPr>
                <w:rFonts w:ascii="Arial" w:hAnsi="Arial" w:cs="Arial" w:eastAsia="Arial"/>
                <w:b/>
                <w:bCs/>
                <w:color w:val="0E1E3A"/>
                <w:sz w:val="18"/>
                <w:szCs w:val="18"/>
                <w:rtl/>
              </w:rPr>
              <w:t>ريال سعودي</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مستشار الاستثمار ومدير الصندوق من الباطن</w:t>
            </w:r>
          </w:p>
        </w:tc>
        <w:tc>
          <w:tcPr>
            <w:tcW w:type="dxa" w:w="6860"/>
          </w:tcPr>
          <w:p>
            <w:pPr>
              <w:bidi w:val="1"/>
              <w:spacing w:before="0" w:after="0" w:line="276" w:lineRule="auto"/>
            </w:pPr>
            <w:r>
              <w:rPr>
                <w:rFonts w:ascii="Arial" w:hAnsi="Arial" w:cs="Arial" w:eastAsia="Arial"/>
                <w:b/>
                <w:bCs/>
                <w:color w:val="0E1E3A"/>
                <w:sz w:val="18"/>
                <w:szCs w:val="18"/>
                <w:rtl/>
              </w:rPr>
              <w:t>لا يوجد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رسوم الإدارة للصناديق المستثمر فيها</w:t>
            </w:r>
          </w:p>
        </w:tc>
        <w:tc>
          <w:tcPr>
            <w:tcW w:type="dxa" w:w="6860"/>
          </w:tcPr>
          <w:p>
            <w:pPr>
              <w:bidi w:val="1"/>
              <w:spacing w:before="0" w:after="0" w:line="276" w:lineRule="auto"/>
            </w:pPr>
            <w:r>
              <w:rPr>
                <w:rFonts w:ascii="Arial" w:hAnsi="Arial" w:cs="Arial" w:eastAsia="Arial"/>
                <w:b/>
                <w:bCs/>
                <w:color w:val="0E1E3A"/>
                <w:sz w:val="18"/>
                <w:szCs w:val="18"/>
                <w:rtl/>
              </w:rPr>
              <w:t>لا يوجد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عدد أيام المتوسط المرجح</w:t>
            </w:r>
          </w:p>
        </w:tc>
        <w:tc>
          <w:tcPr>
            <w:tcW w:type="dxa" w:w="6860"/>
          </w:tcPr>
          <w:p>
            <w:pPr>
              <w:bidi w:val="1"/>
              <w:spacing w:before="0" w:after="0" w:line="276" w:lineRule="auto"/>
            </w:pPr>
            <w:r>
              <w:rPr>
                <w:rFonts w:ascii="Arial" w:hAnsi="Arial" w:cs="Arial" w:eastAsia="Arial"/>
                <w:b/>
                <w:bCs/>
                <w:color w:val="0E1E3A"/>
                <w:sz w:val="18"/>
                <w:szCs w:val="18"/>
                <w:rtl/>
              </w:rPr>
              <w:t>92</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كما في تاريخ 31 ديسمبر 2022م (غير مدققة).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4" name="Picture 9035"/>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نسب تركز فئات الأصول في محفظة الصندوق</w:t>
      </w:r>
    </w:p>
    <w:p>
      <w:pPr>
        <w:bidi w:val="1"/>
        <w:spacing w:before="0" w:after="80" w:line="240" w:lineRule="auto"/>
        <w:jc w:val="center"/>
      </w:pPr>
      <w:r>
        <w:drawing>
          <wp:inline xmlns:a="http://schemas.openxmlformats.org/drawingml/2006/main" xmlns:pic="http://schemas.openxmlformats.org/drawingml/2006/picture">
            <wp:extent cx="6336000" cy="1883676"/>
            <wp:docPr id="5" name="Picture 9036"/>
            <wp:cNvGraphicFramePr>
              <a:graphicFrameLocks noChangeAspect="1"/>
            </wp:cNvGraphicFramePr>
            <a:graphic>
              <a:graphicData uri="http://schemas.openxmlformats.org/drawingml/2006/picture">
                <pic:pic>
                  <pic:nvPicPr>
                    <pic:cNvPr id="0" name="x2.j.jpg"/>
                    <pic:cNvPicPr/>
                  </pic:nvPicPr>
                  <pic:blipFill>
                    <a:blip r:embed="rId16"/>
                    <a:stretch>
                      <a:fillRect/>
                    </a:stretch>
                  </pic:blipFill>
                  <pic:spPr>
                    <a:xfrm>
                      <a:off x="0" y="0"/>
                      <a:ext cx="6336000" cy="1883676"/>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6" name="Picture 903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المؤشرات المالية *</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فترات التقييم</w:t>
            </w:r>
          </w:p>
        </w:tc>
        <w:tc>
          <w:tcPr>
            <w:tcW w:type="dxa" w:w="6860"/>
          </w:tcPr>
          <w:p>
            <w:pPr>
              <w:bidi w:val="1"/>
              <w:spacing w:before="0" w:after="0" w:line="276" w:lineRule="auto"/>
            </w:pPr>
            <w:r>
              <w:rPr>
                <w:rFonts w:ascii="Arial" w:hAnsi="Arial" w:cs="Arial" w:eastAsia="Arial"/>
                <w:b/>
                <w:bCs/>
                <w:color w:val="0E1E3A"/>
                <w:sz w:val="18"/>
                <w:szCs w:val="18"/>
                <w:rtl/>
              </w:rPr>
              <w:t>يوميًا</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القيمة الإجمالية لأصول الصندوق *</w:t>
            </w:r>
          </w:p>
        </w:tc>
        <w:tc>
          <w:tcPr>
            <w:tcW w:type="dxa" w:w="6860"/>
          </w:tcPr>
          <w:p>
            <w:pPr>
              <w:bidi w:val="1"/>
              <w:spacing w:before="0" w:after="0" w:line="276" w:lineRule="auto"/>
            </w:pPr>
            <w:r>
              <w:rPr>
                <w:rFonts w:ascii="Arial" w:hAnsi="Arial" w:cs="Arial" w:eastAsia="Arial"/>
                <w:b/>
                <w:bCs/>
                <w:color w:val="0E1E3A"/>
                <w:sz w:val="18"/>
                <w:szCs w:val="18"/>
                <w:rtl/>
              </w:rPr>
              <w:t>949,459,719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صافي قيمة أصول الصندوق *</w:t>
            </w:r>
          </w:p>
        </w:tc>
        <w:tc>
          <w:tcPr>
            <w:tcW w:type="dxa" w:w="6860"/>
          </w:tcPr>
          <w:p>
            <w:pPr>
              <w:bidi w:val="1"/>
              <w:spacing w:before="0" w:after="0" w:line="276" w:lineRule="auto"/>
            </w:pPr>
            <w:r>
              <w:rPr>
                <w:rFonts w:ascii="Arial" w:hAnsi="Arial" w:cs="Arial" w:eastAsia="Arial"/>
                <w:b/>
                <w:bCs/>
                <w:color w:val="0E1E3A"/>
                <w:sz w:val="18"/>
                <w:szCs w:val="18"/>
                <w:rtl/>
              </w:rPr>
              <w:t>944,090,819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قيمة مصاريف التعامل من متوسط صافي أصول الصندوق للربع المعني</w:t>
            </w:r>
          </w:p>
        </w:tc>
        <w:tc>
          <w:tcPr>
            <w:tcW w:type="dxa" w:w="6860"/>
          </w:tcPr>
          <w:p>
            <w:pPr>
              <w:bidi w:val="1"/>
              <w:spacing w:before="0" w:after="0" w:line="276" w:lineRule="auto"/>
            </w:pPr>
            <w:r>
              <w:rPr>
                <w:rFonts w:ascii="Arial" w:hAnsi="Arial" w:cs="Arial" w:eastAsia="Arial"/>
                <w:b/>
                <w:bCs/>
                <w:color w:val="0E1E3A"/>
                <w:sz w:val="18"/>
                <w:szCs w:val="18"/>
                <w:rtl/>
              </w:rPr>
              <w:t>56,254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مصاريف التعامل للربع المعني من متوسط صافي قيمة أصول الصندوق ****</w:t>
            </w:r>
          </w:p>
        </w:tc>
        <w:tc>
          <w:tcPr>
            <w:tcW w:type="dxa" w:w="6860"/>
          </w:tcPr>
          <w:p>
            <w:pPr>
              <w:bidi w:val="1"/>
              <w:spacing w:before="0" w:after="0" w:line="276" w:lineRule="auto"/>
            </w:pPr>
            <w:r>
              <w:rPr>
                <w:rFonts w:ascii="Arial" w:hAnsi="Arial" w:cs="Arial" w:eastAsia="Arial"/>
                <w:b/>
                <w:bCs/>
                <w:color w:val="0E1E3A"/>
                <w:sz w:val="18"/>
                <w:szCs w:val="18"/>
              </w:rPr>
              <w:t>‎0.01%‎</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المصروفات والأتعاب الإجمالية إلى القيمة الإجمالية لأصول الصندوق **</w:t>
            </w:r>
          </w:p>
        </w:tc>
        <w:tc>
          <w:tcPr>
            <w:tcW w:type="dxa" w:w="6860"/>
          </w:tcPr>
          <w:p>
            <w:pPr>
              <w:bidi w:val="1"/>
              <w:spacing w:before="0" w:after="0" w:line="276" w:lineRule="auto"/>
            </w:pPr>
            <w:r>
              <w:rPr>
                <w:rFonts w:ascii="Arial" w:hAnsi="Arial" w:cs="Arial" w:eastAsia="Arial"/>
                <w:b/>
                <w:bCs/>
                <w:color w:val="0E1E3A"/>
                <w:sz w:val="18"/>
                <w:szCs w:val="18"/>
              </w:rPr>
              <w:t>‎0.37%‎</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تكاليف الصندوق إلى القيمة الإجمالية لأصول الصندوق ***</w:t>
            </w:r>
          </w:p>
        </w:tc>
        <w:tc>
          <w:tcPr>
            <w:tcW w:type="dxa" w:w="6860"/>
          </w:tcPr>
          <w:p>
            <w:pPr>
              <w:bidi w:val="1"/>
              <w:spacing w:before="0" w:after="0" w:line="276" w:lineRule="auto"/>
            </w:pPr>
            <w:r>
              <w:rPr>
                <w:rFonts w:ascii="Arial" w:hAnsi="Arial" w:cs="Arial" w:eastAsia="Arial"/>
                <w:b/>
                <w:bCs/>
                <w:color w:val="0E1E3A"/>
                <w:sz w:val="18"/>
                <w:szCs w:val="18"/>
              </w:rPr>
              <w:t>‎0.37%‎</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تكاليف الصندوق إلى متوسط صافي أصول الصندوق ***</w:t>
            </w:r>
          </w:p>
        </w:tc>
        <w:tc>
          <w:tcPr>
            <w:tcW w:type="dxa" w:w="6860"/>
          </w:tcPr>
          <w:p>
            <w:pPr>
              <w:bidi w:val="1"/>
              <w:spacing w:before="0" w:after="0" w:line="276" w:lineRule="auto"/>
            </w:pPr>
            <w:r>
              <w:rPr>
                <w:rFonts w:ascii="Arial" w:hAnsi="Arial" w:cs="Arial" w:eastAsia="Arial"/>
                <w:b/>
                <w:bCs/>
                <w:color w:val="0E1E3A"/>
                <w:sz w:val="18"/>
                <w:szCs w:val="18"/>
              </w:rPr>
              <w:t>‎0.39%‎</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قيمة المصروفات والتكاليف والأتعاب الإجمالية للربع المعني</w:t>
            </w:r>
          </w:p>
        </w:tc>
        <w:tc>
          <w:tcPr>
            <w:tcW w:type="dxa" w:w="6860"/>
          </w:tcPr>
          <w:p>
            <w:pPr>
              <w:bidi w:val="1"/>
              <w:spacing w:before="0" w:after="0" w:line="276" w:lineRule="auto"/>
            </w:pPr>
            <w:r>
              <w:rPr>
                <w:rFonts w:ascii="Arial" w:hAnsi="Arial" w:cs="Arial" w:eastAsia="Arial"/>
                <w:b/>
                <w:bCs/>
                <w:color w:val="0E1E3A"/>
                <w:sz w:val="18"/>
                <w:szCs w:val="18"/>
                <w:rtl/>
              </w:rPr>
              <w:t>3,530,868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المصروفات والأتعاب الإجمالية للربع المعني من متوسط صافي أصول الصندوق **</w:t>
            </w:r>
          </w:p>
        </w:tc>
        <w:tc>
          <w:tcPr>
            <w:tcW w:type="dxa" w:w="6860"/>
          </w:tcPr>
          <w:p>
            <w:pPr>
              <w:bidi w:val="1"/>
              <w:spacing w:before="0" w:after="0" w:line="276" w:lineRule="auto"/>
            </w:pPr>
            <w:r>
              <w:rPr>
                <w:rFonts w:ascii="Arial" w:hAnsi="Arial" w:cs="Arial" w:eastAsia="Arial"/>
                <w:b/>
                <w:bCs/>
                <w:color w:val="0E1E3A"/>
                <w:sz w:val="18"/>
                <w:szCs w:val="18"/>
              </w:rPr>
              <w:t>‎0.39%‎</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كما في تاريخ 31 ديسمبر 2022م (غير مدققة).</w:t>
      </w:r>
      <w:r>
        <w:br/>
      </w:r>
      <w:r>
        <w:rPr>
          <w:rFonts w:ascii="Arial" w:hAnsi="Arial" w:cs="Arial" w:eastAsia="Arial"/>
          <w:color w:val="5A6478"/>
          <w:sz w:val="17"/>
          <w:szCs w:val="17"/>
          <w:rtl/>
        </w:rPr>
        <w:t>** مصروفات وأتعاب الصندوق هي كافة مصروفات الصندوق خلال الربع المعني ما عدا تكلفة التمويل.</w:t>
      </w:r>
      <w:r>
        <w:br/>
      </w:r>
      <w:r>
        <w:rPr>
          <w:rFonts w:ascii="Arial" w:hAnsi="Arial" w:cs="Arial" w:eastAsia="Arial"/>
          <w:color w:val="5A6478"/>
          <w:sz w:val="17"/>
          <w:szCs w:val="17"/>
          <w:rtl/>
        </w:rPr>
        <w:t>*** تكاليف الصندوق هي كافة أتعاب ومصروفات الصندوق.</w:t>
      </w:r>
      <w:r>
        <w:br/>
      </w:r>
      <w:r>
        <w:rPr>
          <w:rFonts w:ascii="Arial" w:hAnsi="Arial" w:cs="Arial" w:eastAsia="Arial"/>
          <w:color w:val="5A6478"/>
          <w:sz w:val="17"/>
          <w:szCs w:val="17"/>
          <w:rtl/>
        </w:rPr>
        <w:t>**** متوسط صافي قيمة أصول الصندوق خلال الربع المعني = 910,535,598 ر.س.</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7" name="Picture 9038"/>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توزيع الاستثمارات حسب الموقع الجغرافي</w:t>
      </w:r>
    </w:p>
    <w:p>
      <w:pPr>
        <w:bidi w:val="1"/>
        <w:spacing w:before="0" w:after="80" w:line="240" w:lineRule="auto"/>
        <w:jc w:val="center"/>
      </w:pPr>
      <w:r>
        <w:drawing>
          <wp:inline xmlns:a="http://schemas.openxmlformats.org/drawingml/2006/main" xmlns:pic="http://schemas.openxmlformats.org/drawingml/2006/picture">
            <wp:extent cx="6336000" cy="1883676"/>
            <wp:docPr id="8" name="Picture 9039"/>
            <wp:cNvGraphicFramePr>
              <a:graphicFrameLocks noChangeAspect="1"/>
            </wp:cNvGraphicFramePr>
            <a:graphic>
              <a:graphicData uri="http://schemas.openxmlformats.org/drawingml/2006/picture">
                <pic:pic>
                  <pic:nvPicPr>
                    <pic:cNvPr id="0" name="x3.j.jpg"/>
                    <pic:cNvPicPr/>
                  </pic:nvPicPr>
                  <pic:blipFill>
                    <a:blip r:embed="rId17"/>
                    <a:stretch>
                      <a:fillRect/>
                    </a:stretch>
                  </pic:blipFill>
                  <pic:spPr>
                    <a:xfrm>
                      <a:off x="0" y="0"/>
                      <a:ext cx="6336000" cy="1883676"/>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9" name="Picture 9040"/>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أكبر 10 شركات في الأسهم العالمية والمحلية المدرجة</w:t>
      </w:r>
    </w:p>
    <w:p>
      <w:pPr>
        <w:bidi w:val="1"/>
        <w:spacing w:before="0" w:after="80" w:line="240" w:lineRule="auto"/>
        <w:jc w:val="center"/>
      </w:pPr>
      <w:r>
        <w:drawing>
          <wp:inline xmlns:a="http://schemas.openxmlformats.org/drawingml/2006/main" xmlns:pic="http://schemas.openxmlformats.org/drawingml/2006/picture">
            <wp:extent cx="6336000" cy="3025297"/>
            <wp:docPr id="10" name="Picture 9041"/>
            <wp:cNvGraphicFramePr>
              <a:graphicFrameLocks noChangeAspect="1"/>
            </wp:cNvGraphicFramePr>
            <a:graphic>
              <a:graphicData uri="http://schemas.openxmlformats.org/drawingml/2006/picture">
                <pic:pic>
                  <pic:nvPicPr>
                    <pic:cNvPr id="0" name="x4.j.jpg"/>
                    <pic:cNvPicPr/>
                  </pic:nvPicPr>
                  <pic:blipFill>
                    <a:blip r:embed="rId18"/>
                    <a:stretch>
                      <a:fillRect/>
                    </a:stretch>
                  </pic:blipFill>
                  <pic:spPr>
                    <a:xfrm>
                      <a:off x="0" y="0"/>
                      <a:ext cx="6336000" cy="3025297"/>
                    </a:xfrm>
                    <a:prstGeom prst="rect"/>
                  </pic:spPr>
                </pic:pic>
              </a:graphicData>
            </a:graphic>
          </wp:inline>
        </w:drawing>
      </w:r>
    </w:p>
    <w:p>
      <w:pPr>
        <w:bidi w:val="1"/>
        <w:spacing w:before="0" w:after="80" w:line="312" w:lineRule="auto"/>
      </w:pPr>
      <w:r>
        <w:rPr>
          <w:rFonts w:ascii="Arial" w:hAnsi="Arial" w:cs="Arial" w:eastAsia="Arial"/>
          <w:color w:val="5A6478"/>
          <w:sz w:val="17"/>
          <w:szCs w:val="17"/>
          <w:rtl/>
        </w:rPr>
        <w:t>كما في تاريخ 31 ديسمبر 2022م.</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1" name="Picture 9042"/>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توزيع الاستثمارات حسب القطاع</w:t>
      </w:r>
    </w:p>
    <w:p>
      <w:pPr>
        <w:bidi w:val="1"/>
        <w:spacing w:before="0" w:after="80" w:line="240" w:lineRule="auto"/>
        <w:jc w:val="center"/>
      </w:pPr>
      <w:r>
        <w:drawing>
          <wp:inline xmlns:a="http://schemas.openxmlformats.org/drawingml/2006/main" xmlns:pic="http://schemas.openxmlformats.org/drawingml/2006/picture">
            <wp:extent cx="6336000" cy="2758919"/>
            <wp:docPr id="12" name="Picture 9043"/>
            <wp:cNvGraphicFramePr>
              <a:graphicFrameLocks noChangeAspect="1"/>
            </wp:cNvGraphicFramePr>
            <a:graphic>
              <a:graphicData uri="http://schemas.openxmlformats.org/drawingml/2006/picture">
                <pic:pic>
                  <pic:nvPicPr>
                    <pic:cNvPr id="0" name="x5.j.jpg"/>
                    <pic:cNvPicPr/>
                  </pic:nvPicPr>
                  <pic:blipFill>
                    <a:blip r:embed="rId19"/>
                    <a:stretch>
                      <a:fillRect/>
                    </a:stretch>
                  </pic:blipFill>
                  <pic:spPr>
                    <a:xfrm>
                      <a:off x="0" y="0"/>
                      <a:ext cx="6336000" cy="2758919"/>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3" name="Picture 9044"/>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بيانات أصول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أسهم مدرجة</w:t>
            </w:r>
          </w:p>
        </w:tc>
        <w:tc>
          <w:tcPr>
            <w:tcW w:type="dxa" w:w="6860"/>
          </w:tcPr>
          <w:p>
            <w:pPr>
              <w:bidi w:val="1"/>
              <w:spacing w:before="0" w:after="0" w:line="276" w:lineRule="auto"/>
            </w:pPr>
            <w:r>
              <w:rPr>
                <w:rFonts w:ascii="Arial" w:hAnsi="Arial" w:cs="Arial" w:eastAsia="Arial"/>
                <w:b/>
                <w:bCs/>
                <w:color w:val="0E1E3A"/>
                <w:sz w:val="18"/>
                <w:szCs w:val="18"/>
                <w:rtl/>
              </w:rPr>
              <w:t>912,877,261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النقد وما في حكمه</w:t>
            </w:r>
          </w:p>
        </w:tc>
        <w:tc>
          <w:tcPr>
            <w:tcW w:type="dxa" w:w="6860"/>
          </w:tcPr>
          <w:p>
            <w:pPr>
              <w:bidi w:val="1"/>
              <w:spacing w:before="0" w:after="0" w:line="276" w:lineRule="auto"/>
            </w:pPr>
            <w:r>
              <w:rPr>
                <w:rFonts w:ascii="Arial" w:hAnsi="Arial" w:cs="Arial" w:eastAsia="Arial"/>
                <w:b/>
                <w:bCs/>
                <w:color w:val="0E1E3A"/>
                <w:sz w:val="18"/>
                <w:szCs w:val="18"/>
                <w:rtl/>
              </w:rPr>
              <w:t>36,582,456 ر.س.</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4" name="Picture 9045"/>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بيانات القيمة السوقية للصندوق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الإدراج</w:t>
            </w:r>
          </w:p>
        </w:tc>
        <w:tc>
          <w:tcPr>
            <w:tcW w:type="dxa" w:w="6860"/>
          </w:tcPr>
          <w:p>
            <w:pPr>
              <w:bidi w:val="1"/>
              <w:spacing w:before="0" w:after="0" w:line="276" w:lineRule="auto"/>
            </w:pPr>
            <w:r>
              <w:rPr>
                <w:rFonts w:ascii="Arial" w:hAnsi="Arial" w:cs="Arial" w:eastAsia="Arial"/>
                <w:b/>
                <w:bCs/>
                <w:color w:val="0E1E3A"/>
                <w:sz w:val="18"/>
                <w:szCs w:val="18"/>
                <w:rtl/>
              </w:rPr>
              <w:t>1,000,000,000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30 يونيو 2022م</w:t>
            </w:r>
          </w:p>
        </w:tc>
        <w:tc>
          <w:tcPr>
            <w:tcW w:type="dxa" w:w="6860"/>
          </w:tcPr>
          <w:p>
            <w:pPr>
              <w:bidi w:val="1"/>
              <w:spacing w:before="0" w:after="0" w:line="276" w:lineRule="auto"/>
            </w:pPr>
            <w:r>
              <w:rPr>
                <w:rFonts w:ascii="Arial" w:hAnsi="Arial" w:cs="Arial" w:eastAsia="Arial"/>
                <w:b/>
                <w:bCs/>
                <w:color w:val="0E1E3A"/>
                <w:sz w:val="18"/>
                <w:szCs w:val="18"/>
                <w:rtl/>
              </w:rPr>
              <w:t>691,000,000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29 سبتمبر 2022م</w:t>
            </w:r>
          </w:p>
        </w:tc>
        <w:tc>
          <w:tcPr>
            <w:tcW w:type="dxa" w:w="6860"/>
          </w:tcPr>
          <w:p>
            <w:pPr>
              <w:bidi w:val="1"/>
              <w:spacing w:before="0" w:after="0" w:line="276" w:lineRule="auto"/>
            </w:pPr>
            <w:r>
              <w:rPr>
                <w:rFonts w:ascii="Arial" w:hAnsi="Arial" w:cs="Arial" w:eastAsia="Arial"/>
                <w:b/>
                <w:bCs/>
                <w:color w:val="0E1E3A"/>
                <w:sz w:val="18"/>
                <w:szCs w:val="18"/>
                <w:rtl/>
              </w:rPr>
              <w:t>617,000,000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29 ديسمبر 2022م</w:t>
            </w:r>
          </w:p>
        </w:tc>
        <w:tc>
          <w:tcPr>
            <w:tcW w:type="dxa" w:w="6860"/>
          </w:tcPr>
          <w:p>
            <w:pPr>
              <w:bidi w:val="1"/>
              <w:spacing w:before="0" w:after="0" w:line="276" w:lineRule="auto"/>
            </w:pPr>
            <w:r>
              <w:rPr>
                <w:rFonts w:ascii="Arial" w:hAnsi="Arial" w:cs="Arial" w:eastAsia="Arial"/>
                <w:b/>
                <w:bCs/>
                <w:color w:val="0E1E3A"/>
                <w:sz w:val="18"/>
                <w:szCs w:val="18"/>
                <w:rtl/>
              </w:rPr>
              <w:t>569,000,000 ر.س</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5" name="Picture 904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أداء صافي قيمة الأصول وسعر الوحدة *</w:t>
      </w:r>
    </w:p>
    <w:p>
      <w:pPr>
        <w:bidi w:val="1"/>
        <w:spacing w:before="0" w:after="80" w:line="240" w:lineRule="auto"/>
        <w:jc w:val="center"/>
      </w:pPr>
      <w:r>
        <w:drawing>
          <wp:inline xmlns:a="http://schemas.openxmlformats.org/drawingml/2006/main" xmlns:pic="http://schemas.openxmlformats.org/drawingml/2006/picture">
            <wp:extent cx="6336000" cy="3091892"/>
            <wp:docPr id="16" name="Picture 9047"/>
            <wp:cNvGraphicFramePr>
              <a:graphicFrameLocks noChangeAspect="1"/>
            </wp:cNvGraphicFramePr>
            <a:graphic>
              <a:graphicData uri="http://schemas.openxmlformats.org/drawingml/2006/picture">
                <pic:pic>
                  <pic:nvPicPr>
                    <pic:cNvPr id="0" name="x6.j.jpg"/>
                    <pic:cNvPicPr/>
                  </pic:nvPicPr>
                  <pic:blipFill>
                    <a:blip r:embed="rId20"/>
                    <a:stretch>
                      <a:fillRect/>
                    </a:stretch>
                  </pic:blipFill>
                  <pic:spPr>
                    <a:xfrm>
                      <a:off x="0" y="0"/>
                      <a:ext cx="6336000" cy="3091892"/>
                    </a:xfrm>
                    <a:prstGeom prst="rect"/>
                  </pic:spPr>
                </pic:pic>
              </a:graphicData>
            </a:graphic>
          </wp:inline>
        </w:drawing>
      </w:r>
    </w:p>
    <w:p>
      <w:pPr>
        <w:bidi w:val="1"/>
        <w:spacing w:before="0" w:after="80" w:line="312" w:lineRule="auto"/>
      </w:pPr>
      <w:r>
        <w:rPr>
          <w:rFonts w:ascii="Arial" w:hAnsi="Arial" w:cs="Arial" w:eastAsia="Arial"/>
          <w:color w:val="5A6478"/>
          <w:sz w:val="17"/>
          <w:szCs w:val="17"/>
          <w:rtl/>
        </w:rPr>
        <w:t>* بناءً على سعر الوحدة.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7" name="Picture 9048"/>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بيانات وحدات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بنهاية الربع الرابع (31 ديسمبر 2022م)</w:t>
            </w:r>
          </w:p>
        </w:tc>
        <w:tc>
          <w:tcPr>
            <w:tcW w:type="dxa" w:w="6860"/>
          </w:tcPr>
          <w:p>
            <w:pPr>
              <w:bidi w:val="1"/>
              <w:spacing w:before="0" w:after="0" w:line="276" w:lineRule="auto"/>
            </w:pPr>
            <w:r>
              <w:rPr>
                <w:rFonts w:ascii="Arial" w:hAnsi="Arial" w:cs="Arial" w:eastAsia="Arial"/>
                <w:b/>
                <w:bCs/>
                <w:color w:val="0E1E3A"/>
                <w:sz w:val="18"/>
                <w:szCs w:val="18"/>
                <w:rtl/>
              </w:rPr>
              <w:t>5.69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التغير في سعر الوحدة خلال الربع الحالي مقارنة بالربع السابق (من تاريخ 29 سبتمبر 2022م إلى 29 ديسمبر 2022م)</w:t>
            </w:r>
          </w:p>
        </w:tc>
        <w:tc>
          <w:tcPr>
            <w:tcW w:type="dxa" w:w="6860"/>
          </w:tcPr>
          <w:p>
            <w:pPr>
              <w:bidi w:val="1"/>
              <w:spacing w:before="0" w:after="0" w:line="276" w:lineRule="auto"/>
            </w:pPr>
            <w:r>
              <w:rPr>
                <w:rFonts w:ascii="Arial" w:hAnsi="Arial" w:cs="Arial" w:eastAsia="Arial"/>
                <w:b/>
                <w:bCs/>
                <w:color w:val="0E1E3A"/>
                <w:sz w:val="18"/>
                <w:szCs w:val="18"/>
              </w:rPr>
              <w:t>‎-7.78%‎</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أداء سعر الوحدة منذ تاريخ الإدراج (من تاريخ الإدراج إلى نهاية الربع الرابع 2022م)</w:t>
            </w:r>
          </w:p>
        </w:tc>
        <w:tc>
          <w:tcPr>
            <w:tcW w:type="dxa" w:w="6860"/>
          </w:tcPr>
          <w:p>
            <w:pPr>
              <w:bidi w:val="1"/>
              <w:spacing w:before="0" w:after="0" w:line="276" w:lineRule="auto"/>
            </w:pPr>
            <w:r>
              <w:rPr>
                <w:rFonts w:ascii="Arial" w:hAnsi="Arial" w:cs="Arial" w:eastAsia="Arial"/>
                <w:b/>
                <w:bCs/>
                <w:color w:val="0E1E3A"/>
                <w:sz w:val="18"/>
                <w:szCs w:val="18"/>
              </w:rPr>
              <w:t>‎-43.10%‎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أعلى سعر في 52 أسبوعًا</w:t>
            </w:r>
          </w:p>
        </w:tc>
        <w:tc>
          <w:tcPr>
            <w:tcW w:type="dxa" w:w="6860"/>
          </w:tcPr>
          <w:p>
            <w:pPr>
              <w:bidi w:val="1"/>
              <w:spacing w:before="0" w:after="0" w:line="276" w:lineRule="auto"/>
            </w:pPr>
            <w:r>
              <w:rPr>
                <w:rFonts w:ascii="Arial" w:hAnsi="Arial" w:cs="Arial" w:eastAsia="Arial"/>
                <w:b/>
                <w:bCs/>
                <w:color w:val="0E1E3A"/>
                <w:sz w:val="18"/>
                <w:szCs w:val="18"/>
                <w:rtl/>
              </w:rPr>
              <w:t>9.06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أدنى سعر في 52 أسبوعًا</w:t>
            </w:r>
          </w:p>
        </w:tc>
        <w:tc>
          <w:tcPr>
            <w:tcW w:type="dxa" w:w="6860"/>
          </w:tcPr>
          <w:p>
            <w:pPr>
              <w:bidi w:val="1"/>
              <w:spacing w:before="0" w:after="0" w:line="276" w:lineRule="auto"/>
            </w:pPr>
            <w:r>
              <w:rPr>
                <w:rFonts w:ascii="Arial" w:hAnsi="Arial" w:cs="Arial" w:eastAsia="Arial"/>
                <w:b/>
                <w:bCs/>
                <w:color w:val="0E1E3A"/>
                <w:sz w:val="18"/>
                <w:szCs w:val="18"/>
                <w:rtl/>
              </w:rPr>
              <w:t>5.66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عدد الوحدات القائمة "إجمالي وحدات الصندوق"</w:t>
            </w:r>
          </w:p>
        </w:tc>
        <w:tc>
          <w:tcPr>
            <w:tcW w:type="dxa" w:w="6860"/>
          </w:tcPr>
          <w:p>
            <w:pPr>
              <w:bidi w:val="1"/>
              <w:spacing w:before="0" w:after="0" w:line="276" w:lineRule="auto"/>
            </w:pPr>
            <w:r>
              <w:rPr>
                <w:rFonts w:ascii="Arial" w:hAnsi="Arial" w:cs="Arial" w:eastAsia="Arial"/>
                <w:b/>
                <w:bCs/>
                <w:color w:val="0E1E3A"/>
                <w:sz w:val="18"/>
                <w:szCs w:val="18"/>
                <w:rtl/>
              </w:rPr>
              <w:t>100,000,000 وحدة</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المزدوج لصناديق أسواق النقد، وصناديق أدوات الدين ذات الدخل الثابت</w:t>
            </w:r>
          </w:p>
        </w:tc>
        <w:tc>
          <w:tcPr>
            <w:tcW w:type="dxa" w:w="6860"/>
          </w:tcPr>
          <w:p>
            <w:pPr>
              <w:bidi w:val="1"/>
              <w:spacing w:before="0" w:after="0" w:line="276" w:lineRule="auto"/>
            </w:pPr>
            <w:r>
              <w:rPr>
                <w:rFonts w:ascii="Arial" w:hAnsi="Arial" w:cs="Arial" w:eastAsia="Arial"/>
                <w:b/>
                <w:bCs/>
                <w:color w:val="0E1E3A"/>
                <w:sz w:val="18"/>
                <w:szCs w:val="18"/>
                <w:rtl/>
              </w:rPr>
              <w:t>لا يوجد</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8" name="Picture 9049"/>
            <wp:cNvGraphicFramePr>
              <a:graphicFrameLocks noChangeAspect="1"/>
            </wp:cNvGraphicFramePr>
            <a:graphic>
              <a:graphicData uri="http://schemas.openxmlformats.org/drawingml/2006/picture">
                <pic:pic>
                  <pic:nvPicPr>
                    <pic:cNvPr id="0" name="ico_737e94dc9d8d67dbf235ae564951a5f7.png"/>
                    <pic:cNvPicPr/>
                  </pic:nvPicPr>
                  <pic:blipFill>
                    <a:blip r:embed="rId21"/>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توزيع الأرباح</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سياسة توزيع الأرباح</w:t>
            </w:r>
          </w:p>
        </w:tc>
        <w:tc>
          <w:tcPr>
            <w:tcW w:type="dxa" w:w="6860"/>
          </w:tcPr>
          <w:p>
            <w:pPr>
              <w:bidi w:val="1"/>
              <w:spacing w:before="0" w:after="0" w:line="276" w:lineRule="auto"/>
            </w:pPr>
            <w:r>
              <w:rPr>
                <w:rFonts w:ascii="Arial" w:hAnsi="Arial" w:cs="Arial" w:eastAsia="Arial"/>
                <w:b/>
                <w:bCs/>
                <w:color w:val="0E1E3A"/>
                <w:sz w:val="18"/>
                <w:szCs w:val="18"/>
                <w:rtl/>
              </w:rPr>
              <w:t xml:space="preserve">يستهدف مدير الصندوق توزيع </w:t>
            </w:r>
            <w:r>
              <w:rPr>
                <w:rFonts w:ascii="Arial" w:hAnsi="Arial" w:cs="Arial" w:eastAsia="Arial"/>
                <w:b/>
                <w:bCs/>
                <w:color w:val="0E1E3A"/>
                <w:sz w:val="18"/>
                <w:szCs w:val="18"/>
              </w:rPr>
              <w:t>‎100%‎</w:t>
            </w:r>
            <w:r>
              <w:rPr>
                <w:rFonts w:ascii="Arial" w:hAnsi="Arial" w:cs="Arial" w:eastAsia="Arial"/>
                <w:b/>
                <w:bCs/>
                <w:color w:val="0E1E3A"/>
                <w:sz w:val="18"/>
                <w:szCs w:val="18"/>
                <w:rtl/>
              </w:rPr>
              <w:t xml:space="preserve"> من صافي عوائد استثمارات الصندوق والتي تشمل فقط توزيعات الأسهم المدرجة التي يستثمر بها الصندوق مرتين سنويا، حيث يقوم الصندوق بتوزيع العوائد خلال 40 يوم عمل من تاريخ إصدار القوائم المالية النصف سنوية والسنوية. ويحق لمدير الصندوق وفق ما يقرره مناسبا، توزيع حتى </w:t>
            </w:r>
            <w:r>
              <w:rPr>
                <w:rFonts w:ascii="Arial" w:hAnsi="Arial" w:cs="Arial" w:eastAsia="Arial"/>
                <w:b/>
                <w:bCs/>
                <w:color w:val="0E1E3A"/>
                <w:sz w:val="18"/>
                <w:szCs w:val="18"/>
              </w:rPr>
              <w:t>‎50%‎</w:t>
            </w:r>
            <w:r>
              <w:rPr>
                <w:rFonts w:ascii="Arial" w:hAnsi="Arial" w:cs="Arial" w:eastAsia="Arial"/>
                <w:b/>
                <w:bCs/>
                <w:color w:val="0E1E3A"/>
                <w:sz w:val="18"/>
                <w:szCs w:val="18"/>
                <w:rtl/>
              </w:rPr>
              <w:t xml:space="preserve"> من صافي الأرباح الرأسمالية المحققة وغير المحققة مرتين سنويًا، حيث يقوم الصندوق بتوزيع الأرباح الرأسمالية (إن وجدت) المحققة وغير المحققة خلال (40) يوم عمل من تاريخ إصدار القوائم المالية نصف السنوية والسنوية وسيتم الإعلان عن التوزيعات (إن وجدت) خلال (10) أيام عمل من تاريخ إصدار القوائم المالية النصف السنوية والسنوية، وسيتم الإعلان عن تفاصيل التوزيعات النقدية من خلال موقع تداول السعودية.</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الأرباح الموزعة عن الربع المعني</w:t>
            </w:r>
          </w:p>
        </w:tc>
        <w:tc>
          <w:tcPr>
            <w:tcW w:type="dxa" w:w="6860"/>
          </w:tcPr>
          <w:p>
            <w:pPr>
              <w:bidi w:val="1"/>
              <w:spacing w:before="0" w:after="0" w:line="276" w:lineRule="auto"/>
            </w:pPr>
            <w:r>
              <w:rPr>
                <w:rFonts w:ascii="Arial" w:hAnsi="Arial" w:cs="Arial" w:eastAsia="Arial"/>
                <w:b/>
                <w:bCs/>
                <w:color w:val="0E1E3A"/>
                <w:sz w:val="18"/>
                <w:szCs w:val="18"/>
                <w:rtl/>
              </w:rPr>
              <w:t>0.00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الأرباح الموزعة عن آخر فتره نصف سنوية</w:t>
            </w:r>
          </w:p>
        </w:tc>
        <w:tc>
          <w:tcPr>
            <w:tcW w:type="dxa" w:w="6860"/>
          </w:tcPr>
          <w:p>
            <w:pPr>
              <w:bidi w:val="1"/>
              <w:spacing w:before="0" w:after="0" w:line="276" w:lineRule="auto"/>
            </w:pPr>
            <w:r>
              <w:rPr>
                <w:rFonts w:ascii="Arial" w:hAnsi="Arial" w:cs="Arial" w:eastAsia="Arial"/>
                <w:b/>
                <w:bCs/>
                <w:color w:val="0E1E3A"/>
                <w:sz w:val="18"/>
                <w:szCs w:val="18"/>
                <w:rtl/>
              </w:rPr>
              <w:t>0.00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الربح الموزع عن آخر فترة نصف سنوية عن كل وحدة</w:t>
            </w:r>
          </w:p>
        </w:tc>
        <w:tc>
          <w:tcPr>
            <w:tcW w:type="dxa" w:w="6860"/>
          </w:tcPr>
          <w:p>
            <w:pPr>
              <w:bidi w:val="1"/>
              <w:spacing w:before="0" w:after="0" w:line="276" w:lineRule="auto"/>
            </w:pPr>
            <w:r>
              <w:rPr>
                <w:rFonts w:ascii="Arial" w:hAnsi="Arial" w:cs="Arial" w:eastAsia="Arial"/>
                <w:b/>
                <w:bCs/>
                <w:color w:val="0E1E3A"/>
                <w:sz w:val="18"/>
                <w:szCs w:val="18"/>
                <w:rtl/>
              </w:rPr>
              <w:t>0.00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الربح الموزع في الربع المعني من سعر الوحدة الأولي</w:t>
            </w:r>
          </w:p>
        </w:tc>
        <w:tc>
          <w:tcPr>
            <w:tcW w:type="dxa" w:w="6860"/>
          </w:tcPr>
          <w:p>
            <w:pPr>
              <w:bidi w:val="1"/>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الربح الموزع على سعر الوحدة</w:t>
            </w:r>
          </w:p>
        </w:tc>
        <w:tc>
          <w:tcPr>
            <w:tcW w:type="dxa" w:w="6860"/>
          </w:tcPr>
          <w:p>
            <w:pPr>
              <w:bidi w:val="1"/>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الأرباح المستلمة من الأسهم المدرجة التي يستثمر بها الصندوق</w:t>
            </w:r>
          </w:p>
        </w:tc>
        <w:tc>
          <w:tcPr>
            <w:tcW w:type="dxa" w:w="6860"/>
          </w:tcPr>
          <w:p>
            <w:pPr>
              <w:bidi w:val="1"/>
              <w:spacing w:before="0" w:after="0" w:line="276" w:lineRule="auto"/>
            </w:pPr>
            <w:r>
              <w:rPr>
                <w:rFonts w:ascii="Arial" w:hAnsi="Arial" w:cs="Arial" w:eastAsia="Arial"/>
                <w:b/>
                <w:bCs/>
                <w:color w:val="0E1E3A"/>
                <w:sz w:val="18"/>
                <w:szCs w:val="18"/>
                <w:rtl/>
              </w:rPr>
              <w:t>3,530,952</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خسائر محققة من استثمارات الصندوق</w:t>
            </w:r>
          </w:p>
        </w:tc>
        <w:tc>
          <w:tcPr>
            <w:tcW w:type="dxa" w:w="6860"/>
          </w:tcPr>
          <w:p>
            <w:pPr>
              <w:bidi w:val="1"/>
              <w:spacing w:before="0" w:after="0" w:line="276" w:lineRule="auto"/>
            </w:pPr>
            <w:r>
              <w:rPr>
                <w:rFonts w:ascii="Arial" w:hAnsi="Arial" w:cs="Arial" w:eastAsia="Arial"/>
                <w:b/>
                <w:bCs/>
                <w:color w:val="0E1E3A"/>
                <w:sz w:val="18"/>
                <w:szCs w:val="18"/>
                <w:rtl/>
              </w:rPr>
              <w:t>(402,446)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أرباح غير محققة من استثمارات الصندوق</w:t>
            </w:r>
          </w:p>
        </w:tc>
        <w:tc>
          <w:tcPr>
            <w:tcW w:type="dxa" w:w="6860"/>
          </w:tcPr>
          <w:p>
            <w:pPr>
              <w:bidi w:val="1"/>
              <w:spacing w:before="0" w:after="0" w:line="276" w:lineRule="auto"/>
            </w:pPr>
            <w:r>
              <w:rPr>
                <w:rFonts w:ascii="Arial" w:hAnsi="Arial" w:cs="Arial" w:eastAsia="Arial"/>
                <w:b/>
                <w:bCs/>
                <w:color w:val="0E1E3A"/>
                <w:sz w:val="18"/>
                <w:szCs w:val="18"/>
                <w:rtl/>
              </w:rPr>
              <w:t>6,955,581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أرباح فروقات عملة أجنبية</w:t>
            </w:r>
          </w:p>
        </w:tc>
        <w:tc>
          <w:tcPr>
            <w:tcW w:type="dxa" w:w="6860"/>
          </w:tcPr>
          <w:p>
            <w:pPr>
              <w:bidi w:val="1"/>
              <w:spacing w:before="0" w:after="0" w:line="276" w:lineRule="auto"/>
            </w:pPr>
            <w:r>
              <w:rPr>
                <w:rFonts w:ascii="Arial" w:hAnsi="Arial" w:cs="Arial" w:eastAsia="Arial"/>
                <w:b/>
                <w:bCs/>
                <w:color w:val="0E1E3A"/>
                <w:sz w:val="18"/>
                <w:szCs w:val="18"/>
                <w:rtl/>
              </w:rPr>
              <w:t>21,354,146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الدخل للربع المعني</w:t>
            </w:r>
          </w:p>
        </w:tc>
        <w:tc>
          <w:tcPr>
            <w:tcW w:type="dxa" w:w="6860"/>
          </w:tcPr>
          <w:p>
            <w:pPr>
              <w:bidi w:val="1"/>
              <w:spacing w:before="0" w:after="0" w:line="276" w:lineRule="auto"/>
            </w:pPr>
            <w:r>
              <w:rPr>
                <w:rFonts w:ascii="Arial" w:hAnsi="Arial" w:cs="Arial" w:eastAsia="Arial"/>
                <w:b/>
                <w:bCs/>
                <w:color w:val="0E1E3A"/>
                <w:sz w:val="18"/>
                <w:szCs w:val="18"/>
                <w:rtl/>
              </w:rPr>
              <w:t>31,438,232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الدخل للربع المعني على سعر الوحدة كما في 31 ديسمبر 2022م</w:t>
            </w:r>
          </w:p>
        </w:tc>
        <w:tc>
          <w:tcPr>
            <w:tcW w:type="dxa" w:w="6860"/>
          </w:tcPr>
          <w:p>
            <w:pPr>
              <w:bidi w:val="1"/>
              <w:spacing w:before="0" w:after="0" w:line="276" w:lineRule="auto"/>
            </w:pPr>
            <w:r>
              <w:rPr>
                <w:rFonts w:ascii="Arial" w:hAnsi="Arial" w:cs="Arial" w:eastAsia="Arial"/>
                <w:b/>
                <w:bCs/>
                <w:color w:val="0E1E3A"/>
                <w:sz w:val="18"/>
                <w:szCs w:val="18"/>
              </w:rPr>
              <w:t>‎5.53%‎</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9" name="Picture 9050"/>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معايير ومؤشرات أداء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المؤشر الاسترشادي</w:t>
            </w:r>
          </w:p>
        </w:tc>
        <w:tc>
          <w:tcPr>
            <w:tcW w:type="dxa" w:w="6860"/>
          </w:tcPr>
          <w:p>
            <w:pPr>
              <w:bidi w:val="1"/>
              <w:spacing w:before="0" w:after="0" w:line="276" w:lineRule="auto"/>
            </w:pPr>
            <w:r>
              <w:rPr>
                <w:rFonts w:ascii="Arial" w:hAnsi="Arial" w:cs="Arial" w:eastAsia="Arial"/>
                <w:b/>
                <w:bCs/>
                <w:color w:val="0E1E3A"/>
                <w:sz w:val="18"/>
                <w:szCs w:val="18"/>
                <w:rtl/>
              </w:rPr>
              <w:t>مؤشر الخبير للأسهم العالمية</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الأولي (عند بداية الطرح)</w:t>
            </w:r>
          </w:p>
        </w:tc>
        <w:tc>
          <w:tcPr>
            <w:tcW w:type="dxa" w:w="6860"/>
          </w:tcPr>
          <w:p>
            <w:pPr>
              <w:bidi w:val="1"/>
              <w:spacing w:before="0" w:after="0" w:line="276" w:lineRule="auto"/>
            </w:pPr>
            <w:r>
              <w:rPr>
                <w:rFonts w:ascii="Arial" w:hAnsi="Arial" w:cs="Arial" w:eastAsia="Arial"/>
                <w:b/>
                <w:bCs/>
                <w:color w:val="0E1E3A"/>
                <w:sz w:val="18"/>
                <w:szCs w:val="18"/>
                <w:rtl/>
              </w:rPr>
              <w:t>10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العائد الكلي لصافي قيمة الوحدة منذ تاريخ البدء</w:t>
            </w:r>
          </w:p>
        </w:tc>
        <w:tc>
          <w:tcPr>
            <w:tcW w:type="dxa" w:w="6860"/>
          </w:tcPr>
          <w:p>
            <w:pPr>
              <w:bidi w:val="1"/>
              <w:spacing w:before="0" w:after="0" w:line="276" w:lineRule="auto"/>
            </w:pPr>
            <w:r>
              <w:rPr>
                <w:rFonts w:ascii="Arial" w:hAnsi="Arial" w:cs="Arial" w:eastAsia="Arial"/>
                <w:b/>
                <w:bCs/>
                <w:color w:val="0E1E3A"/>
                <w:sz w:val="18"/>
                <w:szCs w:val="18"/>
              </w:rPr>
              <w:t>‎-5.59%‎</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مكرر الربحية (لآخر 12 شهر)</w:t>
            </w:r>
          </w:p>
        </w:tc>
        <w:tc>
          <w:tcPr>
            <w:tcW w:type="dxa" w:w="6860"/>
          </w:tcPr>
          <w:p>
            <w:pPr>
              <w:bidi w:val="1"/>
              <w:spacing w:before="0" w:after="0" w:line="276" w:lineRule="auto"/>
            </w:pPr>
            <w:r>
              <w:rPr>
                <w:rFonts w:ascii="Arial" w:hAnsi="Arial" w:cs="Arial" w:eastAsia="Arial"/>
                <w:b/>
                <w:bCs/>
                <w:color w:val="0E1E3A"/>
                <w:sz w:val="18"/>
                <w:szCs w:val="18"/>
                <w:rtl/>
              </w:rPr>
              <w:t>15.30</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0" name="Picture 9051"/>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وصف المؤشر الاسترشادي للصندوق</w:t>
      </w:r>
    </w:p>
    <w:p>
      <w:pPr>
        <w:bidi w:val="1"/>
        <w:spacing w:before="0" w:after="80" w:line="312" w:lineRule="auto"/>
      </w:pPr>
      <w:r>
        <w:rPr>
          <w:rFonts w:ascii="Arial" w:hAnsi="Arial" w:cs="Arial" w:eastAsia="Arial"/>
          <w:color w:val="0E1E3A"/>
          <w:sz w:val="20"/>
          <w:szCs w:val="20"/>
          <w:rtl/>
        </w:rPr>
        <w:t>مؤشر الخبير للأسهم العالمية وهو مؤشر تم إنشاؤه خصيصًا لصالح الصندوق بالتعاون مع مقدم خدمة المؤشر والذي سيقوم بحساب قيم الشركات المضمنة في المؤشر وإدارته لمصلحة الصندوق. ويشمل المؤشر شركات متنوعة القطاعات والأحجام في أكبر الأسواق المالية العالمية، بالإضافة إلى أكبر الشركات القيادية في المملكة العربية السعودية بعد فلترة الشركات بناء على قيمة سوقية تتجاوز 100 مليون دولار أمر يكي وقيمة متداولة تتجاوز مليون دولار أمريكي يوميًا. ويشمل المؤشر 160 شركة عالمية تمثل أكبر الأسواق المالية العالمية، بالإضافة إلى أكبر 10 شركات في المملكة العربية السعودية متوافقة مع ضوابط اللجنة الشرعية. وتم تقسيم الشركات العالمية بحسب القيم السوقية على ثلاث فئات: أكبر 70 شركة من حيث القيم السوقية للأسهم الحرة من ضمن الشركات ذات القيم السوقية الكبيرة، وأكبر 50 شركة من حيث القيم السوقية للأسهم الحرة من ضمن الشركات ذات القيم السوقية المتوسطة، وأكبر 40 شركة من حيث القيم السوقية للأسهم الحرة من ضمن الشركات ذات القيم السوقية الصغيرة.</w:t>
      </w:r>
    </w:p>
    <w:p>
      <w:pPr>
        <w:bidi w:val="1"/>
        <w:spacing w:before="0" w:after="80" w:line="312" w:lineRule="auto"/>
      </w:pPr>
      <w:r>
        <w:rPr>
          <w:rFonts w:ascii="Arial" w:hAnsi="Arial" w:cs="Arial" w:eastAsia="Arial"/>
          <w:color w:val="0E1E3A"/>
          <w:sz w:val="20"/>
          <w:szCs w:val="20"/>
          <w:rtl/>
        </w:rPr>
        <w:t xml:space="preserve">يتم تعريف الشركات ذات القيمة السوقية الكبيرة بأنها تلك الشركات التي تمثل أكبر قيمة سوقية وهي الشركة من شريحة الشركات التي تمثل إلى أو ما يساوي </w:t>
      </w:r>
      <w:r>
        <w:rPr>
          <w:rFonts w:ascii="Arial" w:hAnsi="Arial" w:cs="Arial" w:eastAsia="Arial"/>
          <w:color w:val="0E1E3A"/>
          <w:sz w:val="20"/>
          <w:szCs w:val="20"/>
        </w:rPr>
        <w:t>‎70%‎</w:t>
      </w:r>
      <w:r>
        <w:rPr>
          <w:rFonts w:ascii="Arial" w:hAnsi="Arial" w:cs="Arial" w:eastAsia="Arial"/>
          <w:color w:val="0E1E3A"/>
          <w:sz w:val="20"/>
          <w:szCs w:val="20"/>
          <w:rtl/>
        </w:rPr>
        <w:t xml:space="preserve"> من حجم قيم السوق مجتمعة، والشريحة أعلى من </w:t>
      </w:r>
      <w:r>
        <w:rPr>
          <w:rFonts w:ascii="Arial" w:hAnsi="Arial" w:cs="Arial" w:eastAsia="Arial"/>
          <w:color w:val="0E1E3A"/>
          <w:sz w:val="20"/>
          <w:szCs w:val="20"/>
        </w:rPr>
        <w:t>‎70%‎</w:t>
      </w:r>
      <w:r>
        <w:rPr>
          <w:rFonts w:ascii="Arial" w:hAnsi="Arial" w:cs="Arial" w:eastAsia="Arial"/>
          <w:color w:val="0E1E3A"/>
          <w:sz w:val="20"/>
          <w:szCs w:val="20"/>
          <w:rtl/>
        </w:rPr>
        <w:t xml:space="preserve"> إلى أو ما يساوي </w:t>
      </w:r>
      <w:r>
        <w:rPr>
          <w:rFonts w:ascii="Arial" w:hAnsi="Arial" w:cs="Arial" w:eastAsia="Arial"/>
          <w:color w:val="0E1E3A"/>
          <w:sz w:val="20"/>
          <w:szCs w:val="20"/>
        </w:rPr>
        <w:t>‎85%‎</w:t>
      </w:r>
      <w:r>
        <w:rPr>
          <w:rFonts w:ascii="Arial" w:hAnsi="Arial" w:cs="Arial" w:eastAsia="Arial"/>
          <w:color w:val="0E1E3A"/>
          <w:sz w:val="20"/>
          <w:szCs w:val="20"/>
          <w:rtl/>
        </w:rPr>
        <w:t xml:space="preserve"> هي المتوسطة، والشريحة أعلى من </w:t>
      </w:r>
      <w:r>
        <w:rPr>
          <w:rFonts w:ascii="Arial" w:hAnsi="Arial" w:cs="Arial" w:eastAsia="Arial"/>
          <w:color w:val="0E1E3A"/>
          <w:sz w:val="20"/>
          <w:szCs w:val="20"/>
        </w:rPr>
        <w:t>‎85%‎</w:t>
      </w:r>
      <w:r>
        <w:rPr>
          <w:rFonts w:ascii="Arial" w:hAnsi="Arial" w:cs="Arial" w:eastAsia="Arial"/>
          <w:color w:val="0E1E3A"/>
          <w:sz w:val="20"/>
          <w:szCs w:val="20"/>
          <w:rtl/>
        </w:rPr>
        <w:t xml:space="preserve"> إلى أو ما يساوي </w:t>
      </w:r>
      <w:r>
        <w:rPr>
          <w:rFonts w:ascii="Arial" w:hAnsi="Arial" w:cs="Arial" w:eastAsia="Arial"/>
          <w:color w:val="0E1E3A"/>
          <w:sz w:val="20"/>
          <w:szCs w:val="20"/>
        </w:rPr>
        <w:t>‎100%‎</w:t>
      </w:r>
      <w:r>
        <w:rPr>
          <w:rFonts w:ascii="Arial" w:hAnsi="Arial" w:cs="Arial" w:eastAsia="Arial"/>
          <w:color w:val="0E1E3A"/>
          <w:sz w:val="20"/>
          <w:szCs w:val="20"/>
          <w:rtl/>
        </w:rPr>
        <w:t xml:space="preserve"> هي الصغيرة.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1" name="Picture 9052"/>
            <wp:cNvGraphicFramePr>
              <a:graphicFrameLocks noChangeAspect="1"/>
            </wp:cNvGraphicFramePr>
            <a:graphic>
              <a:graphicData uri="http://schemas.openxmlformats.org/drawingml/2006/picture">
                <pic:pic>
                  <pic:nvPicPr>
                    <pic:cNvPr id="0" name="ico_a4c5ee8beea27f59442669cc4fdf4aa4.png"/>
                    <pic:cNvPicPr/>
                  </pic:nvPicPr>
                  <pic:blipFill>
                    <a:blip r:embed="rId22"/>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معايير ومؤشرات قياس الأداء</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shd w:val="clear" w:color="auto" w:fill="12284B"/>
          </w:tcPr>
          <w:p>
            <w:pPr>
              <w:bidi w:val="1"/>
              <w:spacing w:before="0" w:after="0" w:line="264" w:lineRule="auto"/>
            </w:pPr>
          </w:p>
        </w:tc>
        <w:tc>
          <w:tcPr>
            <w:tcW w:type="dxa" w:w="3326"/>
            <w:shd w:val="clear" w:color="auto" w:fill="12284B"/>
          </w:tcPr>
          <w:p>
            <w:pPr>
              <w:bidi w:val="1"/>
              <w:spacing w:before="0" w:after="0" w:line="264" w:lineRule="auto"/>
            </w:pPr>
            <w:r>
              <w:rPr>
                <w:rFonts w:ascii="Arial" w:hAnsi="Arial" w:cs="Arial" w:eastAsia="Arial"/>
                <w:b/>
                <w:bCs/>
                <w:color w:val="FFFFFF"/>
                <w:sz w:val="17"/>
                <w:szCs w:val="17"/>
                <w:rtl/>
              </w:rPr>
              <w:t>صندوق "الخبير للنمو وللدخل"</w:t>
            </w:r>
          </w:p>
        </w:tc>
        <w:tc>
          <w:tcPr>
            <w:tcW w:type="dxa" w:w="3326"/>
            <w:shd w:val="clear" w:color="auto" w:fill="12284B"/>
          </w:tcPr>
          <w:p>
            <w:pPr>
              <w:bidi w:val="1"/>
              <w:spacing w:before="0" w:after="0" w:line="264" w:lineRule="auto"/>
            </w:pPr>
            <w:r>
              <w:rPr>
                <w:rFonts w:ascii="Arial" w:hAnsi="Arial" w:cs="Arial" w:eastAsia="Arial"/>
                <w:b/>
                <w:bCs/>
                <w:color w:val="FFFFFF"/>
                <w:sz w:val="17"/>
                <w:szCs w:val="17"/>
                <w:rtl/>
              </w:rPr>
              <w:t>مؤشر الخبير للأسهم العالمية</w:t>
            </w:r>
          </w:p>
        </w:tc>
      </w:tr>
      <w:tr>
        <w:tc>
          <w:tcPr>
            <w:tcW w:type="dxa" w:w="3326"/>
          </w:tcPr>
          <w:p>
            <w:pPr>
              <w:bidi w:val="1"/>
              <w:spacing w:before="0" w:after="0" w:line="264" w:lineRule="auto"/>
            </w:pPr>
            <w:r>
              <w:rPr>
                <w:rFonts w:ascii="Arial" w:hAnsi="Arial" w:cs="Arial" w:eastAsia="Arial"/>
                <w:color w:val="0E1E3A"/>
                <w:sz w:val="17"/>
                <w:szCs w:val="17"/>
                <w:rtl/>
              </w:rPr>
              <w:t>صافي قيمة الوحدة في بداية الفترة</w:t>
            </w:r>
          </w:p>
        </w:tc>
        <w:tc>
          <w:tcPr>
            <w:tcW w:type="dxa" w:w="3326"/>
          </w:tcPr>
          <w:p>
            <w:pPr>
              <w:bidi w:val="1"/>
              <w:spacing w:before="0" w:after="0" w:line="264" w:lineRule="auto"/>
            </w:pPr>
            <w:r>
              <w:rPr>
                <w:rFonts w:ascii="Arial" w:hAnsi="Arial" w:cs="Arial" w:eastAsia="Arial"/>
                <w:color w:val="0E1E3A"/>
                <w:sz w:val="17"/>
                <w:szCs w:val="17"/>
                <w:rtl/>
              </w:rPr>
              <w:t>8.7698 ر.س.</w:t>
            </w:r>
          </w:p>
        </w:tc>
        <w:tc>
          <w:tcPr>
            <w:tcW w:type="dxa" w:w="3326"/>
          </w:tcPr>
          <w:p>
            <w:pPr>
              <w:bidi w:val="1"/>
              <w:spacing w:before="0" w:after="0" w:line="264" w:lineRule="auto"/>
            </w:pPr>
            <w:r>
              <w:rPr>
                <w:rFonts w:ascii="Arial" w:hAnsi="Arial" w:cs="Arial" w:eastAsia="Arial"/>
                <w:color w:val="0E1E3A"/>
                <w:sz w:val="17"/>
                <w:szCs w:val="17"/>
                <w:rtl/>
              </w:rPr>
              <w:t>82.3496</w:t>
            </w:r>
          </w:p>
        </w:tc>
      </w:tr>
      <w:tr>
        <w:tc>
          <w:tcPr>
            <w:tcW w:type="dxa" w:w="3326"/>
          </w:tcPr>
          <w:p>
            <w:pPr>
              <w:bidi w:val="1"/>
              <w:spacing w:before="0" w:after="0" w:line="264" w:lineRule="auto"/>
            </w:pPr>
            <w:r>
              <w:rPr>
                <w:rFonts w:ascii="Arial" w:hAnsi="Arial" w:cs="Arial" w:eastAsia="Arial"/>
                <w:color w:val="0E1E3A"/>
                <w:sz w:val="17"/>
                <w:szCs w:val="17"/>
                <w:rtl/>
              </w:rPr>
              <w:t>صافي قيمة الوحدة في نهاية الفترة</w:t>
            </w:r>
          </w:p>
        </w:tc>
        <w:tc>
          <w:tcPr>
            <w:tcW w:type="dxa" w:w="3326"/>
          </w:tcPr>
          <w:p>
            <w:pPr>
              <w:bidi w:val="1"/>
              <w:spacing w:before="0" w:after="0" w:line="264" w:lineRule="auto"/>
            </w:pPr>
            <w:r>
              <w:rPr>
                <w:rFonts w:ascii="Arial" w:hAnsi="Arial" w:cs="Arial" w:eastAsia="Arial"/>
                <w:color w:val="0E1E3A"/>
                <w:sz w:val="17"/>
                <w:szCs w:val="17"/>
                <w:rtl/>
              </w:rPr>
              <w:t>9.4409 ر.س.</w:t>
            </w:r>
          </w:p>
        </w:tc>
        <w:tc>
          <w:tcPr>
            <w:tcW w:type="dxa" w:w="3326"/>
          </w:tcPr>
          <w:p>
            <w:pPr>
              <w:bidi w:val="1"/>
              <w:spacing w:before="0" w:after="0" w:line="264" w:lineRule="auto"/>
            </w:pPr>
            <w:r>
              <w:rPr>
                <w:rFonts w:ascii="Arial" w:hAnsi="Arial" w:cs="Arial" w:eastAsia="Arial"/>
                <w:color w:val="0E1E3A"/>
                <w:sz w:val="17"/>
                <w:szCs w:val="17"/>
                <w:rtl/>
              </w:rPr>
              <w:t>88.7616</w:t>
            </w:r>
          </w:p>
        </w:tc>
      </w:tr>
      <w:tr>
        <w:tc>
          <w:tcPr>
            <w:tcW w:type="dxa" w:w="3326"/>
          </w:tcPr>
          <w:p>
            <w:pPr>
              <w:bidi w:val="1"/>
              <w:spacing w:before="0" w:after="0" w:line="264" w:lineRule="auto"/>
            </w:pPr>
            <w:r>
              <w:rPr>
                <w:rFonts w:ascii="Arial" w:hAnsi="Arial" w:cs="Arial" w:eastAsia="Arial"/>
                <w:color w:val="0E1E3A"/>
                <w:sz w:val="17"/>
                <w:szCs w:val="17"/>
                <w:rtl/>
              </w:rPr>
              <w:t>أداء الوحدة</w:t>
            </w:r>
          </w:p>
        </w:tc>
        <w:tc>
          <w:tcPr>
            <w:tcW w:type="dxa" w:w="3326"/>
          </w:tcPr>
          <w:p>
            <w:pPr>
              <w:bidi w:val="1"/>
              <w:spacing w:before="0" w:after="0" w:line="264" w:lineRule="auto"/>
            </w:pPr>
            <w:r>
              <w:rPr>
                <w:rFonts w:ascii="Arial" w:hAnsi="Arial" w:cs="Arial" w:eastAsia="Arial"/>
                <w:color w:val="0E1E3A"/>
                <w:sz w:val="17"/>
                <w:szCs w:val="17"/>
              </w:rPr>
              <w:t>‎7.65%‎</w:t>
            </w:r>
          </w:p>
        </w:tc>
        <w:tc>
          <w:tcPr>
            <w:tcW w:type="dxa" w:w="3326"/>
          </w:tcPr>
          <w:p>
            <w:pPr>
              <w:bidi w:val="1"/>
              <w:spacing w:before="0" w:after="0" w:line="264" w:lineRule="auto"/>
            </w:pPr>
            <w:r>
              <w:rPr>
                <w:rFonts w:ascii="Arial" w:hAnsi="Arial" w:cs="Arial" w:eastAsia="Arial"/>
                <w:color w:val="0E1E3A"/>
                <w:sz w:val="17"/>
                <w:szCs w:val="17"/>
              </w:rPr>
              <w:t>‎7.79%‎</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2" name="Picture 9053"/>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ملكية استثمارات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rPr>
          <w:tblHeader/>
        </w:trPr>
        <w:tc>
          <w:tcPr>
            <w:tcW w:type="dxa" w:w="4989"/>
            <w:shd w:val="clear" w:color="auto" w:fill="12284B"/>
          </w:tcPr>
          <w:p>
            <w:pPr>
              <w:bidi w:val="1"/>
              <w:spacing w:before="0" w:after="0" w:line="264" w:lineRule="auto"/>
            </w:pPr>
            <w:r>
              <w:rPr>
                <w:rFonts w:ascii="Arial" w:hAnsi="Arial" w:cs="Arial" w:eastAsia="Arial"/>
                <w:b/>
                <w:bCs/>
                <w:color w:val="FFFFFF"/>
                <w:sz w:val="17"/>
                <w:szCs w:val="17"/>
                <w:rtl/>
              </w:rPr>
              <w:t>الملكية</w:t>
            </w:r>
          </w:p>
        </w:tc>
        <w:tc>
          <w:tcPr>
            <w:tcW w:type="dxa" w:w="4989"/>
            <w:shd w:val="clear" w:color="auto" w:fill="12284B"/>
          </w:tcPr>
          <w:p>
            <w:pPr>
              <w:bidi w:val="1"/>
              <w:spacing w:before="0" w:after="0" w:line="264" w:lineRule="auto"/>
            </w:pPr>
            <w:r>
              <w:rPr>
                <w:rFonts w:ascii="Arial" w:hAnsi="Arial" w:cs="Arial" w:eastAsia="Arial"/>
                <w:b/>
                <w:bCs/>
                <w:color w:val="FFFFFF"/>
                <w:sz w:val="17"/>
                <w:szCs w:val="17"/>
                <w:rtl/>
              </w:rPr>
              <w:t>النسبة (%)</w:t>
            </w:r>
          </w:p>
        </w:tc>
      </w:tr>
      <w:tr>
        <w:tc>
          <w:tcPr>
            <w:tcW w:type="dxa" w:w="4989"/>
          </w:tcPr>
          <w:p>
            <w:pPr>
              <w:bidi w:val="1"/>
              <w:spacing w:before="0" w:after="0" w:line="264" w:lineRule="auto"/>
            </w:pPr>
            <w:r>
              <w:rPr>
                <w:rFonts w:ascii="Arial" w:hAnsi="Arial" w:cs="Arial" w:eastAsia="Arial"/>
                <w:color w:val="0E1E3A"/>
                <w:sz w:val="17"/>
                <w:szCs w:val="17"/>
                <w:rtl/>
              </w:rPr>
              <w:t>ملكية تامة</w:t>
            </w:r>
          </w:p>
        </w:tc>
        <w:tc>
          <w:tcPr>
            <w:tcW w:type="dxa" w:w="4989"/>
          </w:tcPr>
          <w:p>
            <w:pPr>
              <w:bidi w:val="1"/>
              <w:spacing w:before="0" w:after="0" w:line="264" w:lineRule="auto"/>
            </w:pPr>
            <w:r>
              <w:rPr>
                <w:rFonts w:ascii="Arial" w:hAnsi="Arial" w:cs="Arial" w:eastAsia="Arial"/>
                <w:color w:val="0E1E3A"/>
                <w:sz w:val="17"/>
                <w:szCs w:val="17"/>
              </w:rPr>
              <w:t>‎100%‎</w:t>
            </w:r>
          </w:p>
        </w:tc>
      </w:tr>
      <w:tr>
        <w:tc>
          <w:tcPr>
            <w:tcW w:type="dxa" w:w="4989"/>
          </w:tcPr>
          <w:p>
            <w:pPr>
              <w:bidi w:val="1"/>
              <w:spacing w:before="0" w:after="0" w:line="264" w:lineRule="auto"/>
            </w:pPr>
            <w:r>
              <w:rPr>
                <w:rFonts w:ascii="Arial" w:hAnsi="Arial" w:cs="Arial" w:eastAsia="Arial"/>
                <w:color w:val="0E1E3A"/>
                <w:sz w:val="17"/>
                <w:szCs w:val="17"/>
                <w:rtl/>
              </w:rPr>
              <w:t>حق منفعة</w:t>
            </w:r>
          </w:p>
        </w:tc>
        <w:tc>
          <w:tcPr>
            <w:tcW w:type="dxa" w:w="4989"/>
          </w:tcPr>
          <w:p>
            <w:pPr>
              <w:bidi w:val="1"/>
              <w:spacing w:before="0" w:after="0" w:line="264" w:lineRule="auto"/>
            </w:pPr>
            <w:r>
              <w:rPr>
                <w:rFonts w:ascii="Arial" w:hAnsi="Arial" w:cs="Arial" w:eastAsia="Arial"/>
                <w:color w:val="0E1E3A"/>
                <w:sz w:val="17"/>
                <w:szCs w:val="17"/>
              </w:rPr>
              <w:t>‎0%‎</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3" name="Picture 9054"/>
            <wp:cNvGraphicFramePr>
              <a:graphicFrameLocks noChangeAspect="1"/>
            </wp:cNvGraphicFramePr>
            <a:graphic>
              <a:graphicData uri="http://schemas.openxmlformats.org/drawingml/2006/picture">
                <pic:pic>
                  <pic:nvPicPr>
                    <pic:cNvPr id="0" name="ico_a4c5ee8beea27f59442669cc4fdf4aa4.png"/>
                    <pic:cNvPicPr/>
                  </pic:nvPicPr>
                  <pic:blipFill>
                    <a:blip r:embed="rId22"/>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العوائد</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2494"/>
        <w:gridCol w:w="2494"/>
        <w:gridCol w:w="2494"/>
        <w:gridCol w:w="2494"/>
      </w:tblGrid>
      <w:tr>
        <w:trPr>
          <w:tblHeader/>
        </w:trPr>
        <w:tc>
          <w:tcPr>
            <w:tcW w:type="dxa" w:w="2494"/>
            <w:shd w:val="clear" w:color="auto" w:fill="12284B"/>
          </w:tcPr>
          <w:p>
            <w:pPr>
              <w:bidi w:val="1"/>
              <w:spacing w:before="0" w:after="0" w:line="264" w:lineRule="auto"/>
            </w:pPr>
            <w:r>
              <w:rPr>
                <w:rFonts w:ascii="Arial" w:hAnsi="Arial" w:cs="Arial" w:eastAsia="Arial"/>
                <w:b/>
                <w:bCs/>
                <w:color w:val="FFFFFF"/>
                <w:sz w:val="17"/>
                <w:szCs w:val="17"/>
                <w:rtl/>
              </w:rPr>
              <w:t>البند</w:t>
            </w:r>
          </w:p>
        </w:tc>
        <w:tc>
          <w:tcPr>
            <w:tcW w:type="dxa" w:w="2494"/>
            <w:shd w:val="clear" w:color="auto" w:fill="12284B"/>
          </w:tcPr>
          <w:p>
            <w:pPr>
              <w:bidi w:val="1"/>
              <w:spacing w:before="0" w:after="0" w:line="264" w:lineRule="auto"/>
            </w:pPr>
            <w:r>
              <w:rPr>
                <w:rFonts w:ascii="Arial" w:hAnsi="Arial" w:cs="Arial" w:eastAsia="Arial"/>
                <w:b/>
                <w:bCs/>
                <w:color w:val="FFFFFF"/>
                <w:sz w:val="17"/>
                <w:szCs w:val="17"/>
                <w:rtl/>
              </w:rPr>
              <w:t>للربع المعني</w:t>
            </w:r>
          </w:p>
        </w:tc>
        <w:tc>
          <w:tcPr>
            <w:tcW w:type="dxa" w:w="2494"/>
            <w:shd w:val="clear" w:color="auto" w:fill="12284B"/>
          </w:tcPr>
          <w:p>
            <w:pPr>
              <w:bidi w:val="1"/>
              <w:spacing w:before="0" w:after="0" w:line="264" w:lineRule="auto"/>
            </w:pPr>
            <w:r>
              <w:rPr>
                <w:rFonts w:ascii="Arial" w:hAnsi="Arial" w:cs="Arial" w:eastAsia="Arial"/>
                <w:b/>
                <w:bCs/>
                <w:color w:val="FFFFFF"/>
                <w:sz w:val="17"/>
                <w:szCs w:val="17"/>
                <w:rtl/>
              </w:rPr>
              <w:t>سنة حتى تاريخه (YTD)</w:t>
            </w:r>
          </w:p>
        </w:tc>
        <w:tc>
          <w:tcPr>
            <w:tcW w:type="dxa" w:w="2494"/>
            <w:shd w:val="clear" w:color="auto" w:fill="12284B"/>
          </w:tcPr>
          <w:p>
            <w:pPr>
              <w:bidi w:val="1"/>
              <w:spacing w:before="0" w:after="0" w:line="264" w:lineRule="auto"/>
            </w:pPr>
            <w:r>
              <w:rPr>
                <w:rFonts w:ascii="Arial" w:hAnsi="Arial" w:cs="Arial" w:eastAsia="Arial"/>
                <w:b/>
                <w:bCs/>
                <w:color w:val="FFFFFF"/>
                <w:sz w:val="17"/>
                <w:szCs w:val="17"/>
                <w:rtl/>
              </w:rPr>
              <w:t>سنة واحدة*</w:t>
            </w:r>
          </w:p>
        </w:tc>
      </w:tr>
      <w:tr>
        <w:tc>
          <w:tcPr>
            <w:tcW w:type="dxa" w:w="2494"/>
          </w:tcPr>
          <w:p>
            <w:pPr>
              <w:bidi w:val="1"/>
              <w:spacing w:before="0" w:after="0" w:line="264" w:lineRule="auto"/>
            </w:pPr>
            <w:r>
              <w:rPr>
                <w:rFonts w:ascii="Arial" w:hAnsi="Arial" w:cs="Arial" w:eastAsia="Arial"/>
                <w:color w:val="0E1E3A"/>
                <w:sz w:val="17"/>
                <w:szCs w:val="17"/>
                <w:rtl/>
              </w:rPr>
              <w:t>العائد الكلي لصافي قيمة الوحدة "أداء الصندوق"</w:t>
            </w:r>
          </w:p>
        </w:tc>
        <w:tc>
          <w:tcPr>
            <w:tcW w:type="dxa" w:w="2494"/>
          </w:tcPr>
          <w:p>
            <w:pPr>
              <w:bidi w:val="1"/>
              <w:spacing w:before="0" w:after="0" w:line="264" w:lineRule="auto"/>
            </w:pPr>
            <w:r>
              <w:rPr>
                <w:rFonts w:ascii="Arial" w:hAnsi="Arial" w:cs="Arial" w:eastAsia="Arial"/>
                <w:color w:val="0E1E3A"/>
                <w:sz w:val="17"/>
                <w:szCs w:val="17"/>
              </w:rPr>
              <w:t>‎7.65%‎</w:t>
            </w:r>
          </w:p>
        </w:tc>
        <w:tc>
          <w:tcPr>
            <w:tcW w:type="dxa" w:w="2494"/>
          </w:tcPr>
          <w:p>
            <w:pPr>
              <w:bidi w:val="1"/>
              <w:spacing w:before="0" w:after="0" w:line="264" w:lineRule="auto"/>
            </w:pPr>
            <w:r>
              <w:rPr>
                <w:rFonts w:ascii="Arial" w:hAnsi="Arial" w:cs="Arial" w:eastAsia="Arial"/>
                <w:color w:val="0E1E3A"/>
                <w:sz w:val="17"/>
                <w:szCs w:val="17"/>
              </w:rPr>
              <w:t>‎-5.59%‎</w:t>
            </w:r>
          </w:p>
        </w:tc>
        <w:tc>
          <w:tcPr>
            <w:tcW w:type="dxa" w:w="2494"/>
          </w:tcPr>
          <w:p>
            <w:pPr>
              <w:bidi w:val="1"/>
              <w:spacing w:before="0" w:after="0" w:line="264" w:lineRule="auto"/>
            </w:pPr>
            <w:r>
              <w:rPr>
                <w:rFonts w:ascii="Arial" w:hAnsi="Arial" w:cs="Arial" w:eastAsia="Arial"/>
                <w:color w:val="0E1E3A"/>
                <w:sz w:val="17"/>
                <w:szCs w:val="17"/>
              </w:rPr>
              <w:t>‎-5.59%‎</w:t>
            </w:r>
          </w:p>
        </w:tc>
      </w:tr>
      <w:tr>
        <w:tc>
          <w:tcPr>
            <w:tcW w:type="dxa" w:w="2494"/>
          </w:tcPr>
          <w:p>
            <w:pPr>
              <w:bidi w:val="1"/>
              <w:spacing w:before="0" w:after="0" w:line="264" w:lineRule="auto"/>
            </w:pPr>
            <w:r>
              <w:rPr>
                <w:rFonts w:ascii="Arial" w:hAnsi="Arial" w:cs="Arial" w:eastAsia="Arial"/>
                <w:color w:val="0E1E3A"/>
                <w:sz w:val="17"/>
                <w:szCs w:val="17"/>
                <w:rtl/>
              </w:rPr>
              <w:t>أداء المؤشر الاسترشادي</w:t>
            </w:r>
          </w:p>
        </w:tc>
        <w:tc>
          <w:tcPr>
            <w:tcW w:type="dxa" w:w="2494"/>
          </w:tcPr>
          <w:p>
            <w:pPr>
              <w:bidi w:val="1"/>
              <w:spacing w:before="0" w:after="0" w:line="264" w:lineRule="auto"/>
            </w:pPr>
            <w:r>
              <w:rPr>
                <w:rFonts w:ascii="Arial" w:hAnsi="Arial" w:cs="Arial" w:eastAsia="Arial"/>
                <w:color w:val="0E1E3A"/>
                <w:sz w:val="17"/>
                <w:szCs w:val="17"/>
              </w:rPr>
              <w:t>‎7.79%‎</w:t>
            </w:r>
          </w:p>
        </w:tc>
        <w:tc>
          <w:tcPr>
            <w:tcW w:type="dxa" w:w="2494"/>
          </w:tcPr>
          <w:p>
            <w:pPr>
              <w:bidi w:val="1"/>
              <w:spacing w:before="0" w:after="0" w:line="264" w:lineRule="auto"/>
            </w:pPr>
            <w:r>
              <w:rPr>
                <w:rFonts w:ascii="Arial" w:hAnsi="Arial" w:cs="Arial" w:eastAsia="Arial"/>
                <w:color w:val="0E1E3A"/>
                <w:sz w:val="17"/>
                <w:szCs w:val="17"/>
              </w:rPr>
              <w:t>‎-6.71%‎</w:t>
            </w:r>
          </w:p>
        </w:tc>
        <w:tc>
          <w:tcPr>
            <w:tcW w:type="dxa" w:w="2494"/>
          </w:tcPr>
          <w:p>
            <w:pPr>
              <w:bidi w:val="1"/>
              <w:spacing w:before="0" w:after="0" w:line="264" w:lineRule="auto"/>
            </w:pPr>
            <w:r>
              <w:rPr>
                <w:rFonts w:ascii="Arial" w:hAnsi="Arial" w:cs="Arial" w:eastAsia="Arial"/>
                <w:color w:val="0E1E3A"/>
                <w:sz w:val="17"/>
                <w:szCs w:val="17"/>
              </w:rPr>
              <w:t>‎-6.71%‎</w:t>
            </w:r>
          </w:p>
        </w:tc>
      </w:tr>
      <w:tr>
        <w:tc>
          <w:tcPr>
            <w:tcW w:type="dxa" w:w="2494"/>
          </w:tcPr>
          <w:p>
            <w:pPr>
              <w:bidi w:val="1"/>
              <w:spacing w:before="0" w:after="0" w:line="264" w:lineRule="auto"/>
            </w:pPr>
            <w:r>
              <w:rPr>
                <w:rFonts w:ascii="Arial" w:hAnsi="Arial" w:cs="Arial" w:eastAsia="Arial"/>
                <w:color w:val="0E1E3A"/>
                <w:sz w:val="17"/>
                <w:szCs w:val="17"/>
                <w:rtl/>
              </w:rPr>
              <w:t>فارق الأداء</w:t>
            </w:r>
          </w:p>
        </w:tc>
        <w:tc>
          <w:tcPr>
            <w:tcW w:type="dxa" w:w="2494"/>
          </w:tcPr>
          <w:p>
            <w:pPr>
              <w:bidi w:val="1"/>
              <w:spacing w:before="0" w:after="0" w:line="264" w:lineRule="auto"/>
            </w:pPr>
            <w:r>
              <w:rPr>
                <w:rFonts w:ascii="Arial" w:hAnsi="Arial" w:cs="Arial" w:eastAsia="Arial"/>
                <w:color w:val="0E1E3A"/>
                <w:sz w:val="17"/>
                <w:szCs w:val="17"/>
              </w:rPr>
              <w:t>‎-0.14%‎</w:t>
            </w:r>
          </w:p>
        </w:tc>
        <w:tc>
          <w:tcPr>
            <w:tcW w:type="dxa" w:w="2494"/>
          </w:tcPr>
          <w:p>
            <w:pPr>
              <w:bidi w:val="1"/>
              <w:spacing w:before="0" w:after="0" w:line="264" w:lineRule="auto"/>
            </w:pPr>
            <w:r>
              <w:rPr>
                <w:rFonts w:ascii="Arial" w:hAnsi="Arial" w:cs="Arial" w:eastAsia="Arial"/>
                <w:color w:val="0E1E3A"/>
                <w:sz w:val="17"/>
                <w:szCs w:val="17"/>
              </w:rPr>
              <w:t>‎1.12%‎</w:t>
            </w:r>
          </w:p>
        </w:tc>
        <w:tc>
          <w:tcPr>
            <w:tcW w:type="dxa" w:w="2494"/>
          </w:tcPr>
          <w:p>
            <w:pPr>
              <w:bidi w:val="1"/>
              <w:spacing w:before="0" w:after="0" w:line="264" w:lineRule="auto"/>
            </w:pPr>
            <w:r>
              <w:rPr>
                <w:rFonts w:ascii="Arial" w:hAnsi="Arial" w:cs="Arial" w:eastAsia="Arial"/>
                <w:color w:val="0E1E3A"/>
                <w:sz w:val="17"/>
                <w:szCs w:val="17"/>
              </w:rPr>
              <w:t>‎1.12%‎</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كما في تاريخ الإدراج 27 أبريل 2022م</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4" name="Picture 9055"/>
            <wp:cNvGraphicFramePr>
              <a:graphicFrameLocks noChangeAspect="1"/>
            </wp:cNvGraphicFramePr>
            <a:graphic>
              <a:graphicData uri="http://schemas.openxmlformats.org/drawingml/2006/picture">
                <pic:pic>
                  <pic:nvPicPr>
                    <pic:cNvPr id="0" name="ico_47bcec02f49b9d1a764a57a70a5c8310.png"/>
                    <pic:cNvPicPr/>
                  </pic:nvPicPr>
                  <pic:blipFill>
                    <a:blip r:embed="rId23"/>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الأداء والمخاطر</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2494"/>
        <w:gridCol w:w="2494"/>
        <w:gridCol w:w="2494"/>
        <w:gridCol w:w="2494"/>
      </w:tblGrid>
      <w:tr>
        <w:trPr>
          <w:tblHeader/>
        </w:trPr>
        <w:tc>
          <w:tcPr>
            <w:tcW w:type="dxa" w:w="2494"/>
            <w:shd w:val="clear" w:color="auto" w:fill="12284B"/>
          </w:tcPr>
          <w:p>
            <w:pPr>
              <w:bidi w:val="1"/>
              <w:spacing w:before="0" w:after="0" w:line="264" w:lineRule="auto"/>
            </w:pPr>
            <w:r>
              <w:rPr>
                <w:rFonts w:ascii="Arial" w:hAnsi="Arial" w:cs="Arial" w:eastAsia="Arial"/>
                <w:b/>
                <w:bCs/>
                <w:color w:val="FFFFFF"/>
                <w:sz w:val="17"/>
                <w:szCs w:val="17"/>
                <w:rtl/>
              </w:rPr>
              <w:t>معايير الأداء والمخاطر</w:t>
            </w:r>
          </w:p>
        </w:tc>
        <w:tc>
          <w:tcPr>
            <w:tcW w:type="dxa" w:w="2494"/>
            <w:shd w:val="clear" w:color="auto" w:fill="12284B"/>
          </w:tcPr>
          <w:p>
            <w:pPr>
              <w:bidi w:val="1"/>
              <w:spacing w:before="0" w:after="0" w:line="264" w:lineRule="auto"/>
            </w:pPr>
            <w:r>
              <w:rPr>
                <w:rFonts w:ascii="Arial" w:hAnsi="Arial" w:cs="Arial" w:eastAsia="Arial"/>
                <w:b/>
                <w:bCs/>
                <w:color w:val="FFFFFF"/>
                <w:sz w:val="17"/>
                <w:szCs w:val="17"/>
                <w:rtl/>
              </w:rPr>
              <w:t>للربع المعني</w:t>
            </w:r>
          </w:p>
        </w:tc>
        <w:tc>
          <w:tcPr>
            <w:tcW w:type="dxa" w:w="2494"/>
            <w:shd w:val="clear" w:color="auto" w:fill="12284B"/>
          </w:tcPr>
          <w:p>
            <w:pPr>
              <w:bidi w:val="1"/>
              <w:spacing w:before="0" w:after="0" w:line="264" w:lineRule="auto"/>
            </w:pPr>
            <w:r>
              <w:rPr>
                <w:rFonts w:ascii="Arial" w:hAnsi="Arial" w:cs="Arial" w:eastAsia="Arial"/>
                <w:b/>
                <w:bCs/>
                <w:color w:val="FFFFFF"/>
                <w:sz w:val="17"/>
                <w:szCs w:val="17"/>
                <w:rtl/>
              </w:rPr>
              <w:t>سنة حتى تاريخه (YTD)</w:t>
            </w:r>
          </w:p>
        </w:tc>
        <w:tc>
          <w:tcPr>
            <w:tcW w:type="dxa" w:w="2494"/>
            <w:shd w:val="clear" w:color="auto" w:fill="12284B"/>
          </w:tcPr>
          <w:p>
            <w:pPr>
              <w:bidi w:val="1"/>
              <w:spacing w:before="0" w:after="0" w:line="264" w:lineRule="auto"/>
            </w:pPr>
            <w:r>
              <w:rPr>
                <w:rFonts w:ascii="Arial" w:hAnsi="Arial" w:cs="Arial" w:eastAsia="Arial"/>
                <w:b/>
                <w:bCs/>
                <w:color w:val="FFFFFF"/>
                <w:sz w:val="17"/>
                <w:szCs w:val="17"/>
                <w:rtl/>
              </w:rPr>
              <w:t>سنة واحدة*</w:t>
            </w:r>
          </w:p>
        </w:tc>
      </w:tr>
      <w:tr>
        <w:tc>
          <w:tcPr>
            <w:tcW w:type="dxa" w:w="2494"/>
          </w:tcPr>
          <w:p>
            <w:pPr>
              <w:bidi w:val="1"/>
              <w:spacing w:before="0" w:after="0" w:line="264" w:lineRule="auto"/>
            </w:pPr>
            <w:r>
              <w:rPr>
                <w:rFonts w:ascii="Arial" w:hAnsi="Arial" w:cs="Arial" w:eastAsia="Arial"/>
                <w:color w:val="0E1E3A"/>
                <w:sz w:val="17"/>
                <w:szCs w:val="17"/>
                <w:rtl/>
              </w:rPr>
              <w:t>الانحراف المعياري 1</w:t>
            </w:r>
          </w:p>
        </w:tc>
        <w:tc>
          <w:tcPr>
            <w:tcW w:type="dxa" w:w="2494"/>
          </w:tcPr>
          <w:p>
            <w:pPr>
              <w:bidi w:val="1"/>
              <w:spacing w:before="0" w:after="0" w:line="264" w:lineRule="auto"/>
            </w:pPr>
            <w:r>
              <w:rPr>
                <w:rFonts w:ascii="Arial" w:hAnsi="Arial" w:cs="Arial" w:eastAsia="Arial"/>
                <w:color w:val="0E1E3A"/>
                <w:sz w:val="17"/>
                <w:szCs w:val="17"/>
                <w:rtl/>
              </w:rPr>
              <w:t>9.93</w:t>
            </w:r>
          </w:p>
        </w:tc>
        <w:tc>
          <w:tcPr>
            <w:tcW w:type="dxa" w:w="2494"/>
          </w:tcPr>
          <w:p>
            <w:pPr>
              <w:bidi w:val="1"/>
              <w:spacing w:before="0" w:after="0" w:line="264" w:lineRule="auto"/>
            </w:pPr>
            <w:r>
              <w:rPr>
                <w:rFonts w:ascii="Arial" w:hAnsi="Arial" w:cs="Arial" w:eastAsia="Arial"/>
                <w:color w:val="0E1E3A"/>
                <w:sz w:val="17"/>
                <w:szCs w:val="17"/>
                <w:rtl/>
              </w:rPr>
              <w:t>15.11</w:t>
            </w:r>
          </w:p>
        </w:tc>
        <w:tc>
          <w:tcPr>
            <w:tcW w:type="dxa" w:w="2494"/>
          </w:tcPr>
          <w:p>
            <w:pPr>
              <w:bidi w:val="1"/>
              <w:spacing w:before="0" w:after="0" w:line="264" w:lineRule="auto"/>
            </w:pPr>
            <w:r>
              <w:rPr>
                <w:rFonts w:ascii="Arial" w:hAnsi="Arial" w:cs="Arial" w:eastAsia="Arial"/>
                <w:color w:val="0E1E3A"/>
                <w:sz w:val="17"/>
                <w:szCs w:val="17"/>
                <w:rtl/>
              </w:rPr>
              <w:t>15.11</w:t>
            </w:r>
          </w:p>
        </w:tc>
      </w:tr>
      <w:tr>
        <w:tc>
          <w:tcPr>
            <w:tcW w:type="dxa" w:w="2494"/>
          </w:tcPr>
          <w:p>
            <w:pPr>
              <w:bidi w:val="1"/>
              <w:spacing w:before="0" w:after="0" w:line="264" w:lineRule="auto"/>
            </w:pPr>
            <w:r>
              <w:rPr>
                <w:rFonts w:ascii="Arial" w:hAnsi="Arial" w:cs="Arial" w:eastAsia="Arial"/>
                <w:color w:val="0E1E3A"/>
                <w:sz w:val="17"/>
                <w:szCs w:val="17"/>
                <w:rtl/>
              </w:rPr>
              <w:t>مؤشر شارب 2</w:t>
            </w:r>
          </w:p>
        </w:tc>
        <w:tc>
          <w:tcPr>
            <w:tcW w:type="dxa" w:w="2494"/>
          </w:tcPr>
          <w:p>
            <w:pPr>
              <w:bidi w:val="1"/>
              <w:spacing w:before="0" w:after="0" w:line="264" w:lineRule="auto"/>
            </w:pPr>
            <w:r>
              <w:rPr>
                <w:rFonts w:ascii="Arial" w:hAnsi="Arial" w:cs="Arial" w:eastAsia="Arial"/>
                <w:color w:val="0E1E3A"/>
                <w:sz w:val="17"/>
                <w:szCs w:val="17"/>
                <w:rtl/>
              </w:rPr>
              <w:t>0.29</w:t>
            </w:r>
          </w:p>
        </w:tc>
        <w:tc>
          <w:tcPr>
            <w:tcW w:type="dxa" w:w="2494"/>
          </w:tcPr>
          <w:p>
            <w:pPr>
              <w:bidi w:val="1"/>
              <w:spacing w:before="0" w:after="0" w:line="264" w:lineRule="auto"/>
            </w:pPr>
            <w:r>
              <w:rPr>
                <w:rFonts w:ascii="Arial" w:hAnsi="Arial" w:cs="Arial" w:eastAsia="Arial"/>
                <w:color w:val="0E1E3A"/>
                <w:sz w:val="17"/>
                <w:szCs w:val="17"/>
                <w:rtl/>
              </w:rPr>
              <w:t>-0.56</w:t>
            </w:r>
          </w:p>
        </w:tc>
        <w:tc>
          <w:tcPr>
            <w:tcW w:type="dxa" w:w="2494"/>
          </w:tcPr>
          <w:p>
            <w:pPr>
              <w:bidi w:val="1"/>
              <w:spacing w:before="0" w:after="0" w:line="264" w:lineRule="auto"/>
            </w:pPr>
            <w:r>
              <w:rPr>
                <w:rFonts w:ascii="Arial" w:hAnsi="Arial" w:cs="Arial" w:eastAsia="Arial"/>
                <w:color w:val="0E1E3A"/>
                <w:sz w:val="17"/>
                <w:szCs w:val="17"/>
                <w:rtl/>
              </w:rPr>
              <w:t>-0.56</w:t>
            </w:r>
          </w:p>
        </w:tc>
      </w:tr>
      <w:tr>
        <w:tc>
          <w:tcPr>
            <w:tcW w:type="dxa" w:w="2494"/>
          </w:tcPr>
          <w:p>
            <w:pPr>
              <w:bidi w:val="1"/>
              <w:spacing w:before="0" w:after="0" w:line="264" w:lineRule="auto"/>
            </w:pPr>
            <w:r>
              <w:rPr>
                <w:rFonts w:ascii="Arial" w:hAnsi="Arial" w:cs="Arial" w:eastAsia="Arial"/>
                <w:color w:val="0E1E3A"/>
                <w:sz w:val="17"/>
                <w:szCs w:val="17"/>
                <w:rtl/>
              </w:rPr>
              <w:t>خطأ التتبع 3</w:t>
            </w:r>
          </w:p>
        </w:tc>
        <w:tc>
          <w:tcPr>
            <w:tcW w:type="dxa" w:w="2494"/>
          </w:tcPr>
          <w:p>
            <w:pPr>
              <w:bidi w:val="1"/>
              <w:spacing w:before="0" w:after="0" w:line="264" w:lineRule="auto"/>
            </w:pPr>
            <w:r>
              <w:rPr>
                <w:rFonts w:ascii="Arial" w:hAnsi="Arial" w:cs="Arial" w:eastAsia="Arial"/>
                <w:color w:val="0E1E3A"/>
                <w:sz w:val="17"/>
                <w:szCs w:val="17"/>
                <w:rtl/>
              </w:rPr>
              <w:t>7.11</w:t>
            </w:r>
          </w:p>
        </w:tc>
        <w:tc>
          <w:tcPr>
            <w:tcW w:type="dxa" w:w="2494"/>
          </w:tcPr>
          <w:p>
            <w:pPr>
              <w:bidi w:val="1"/>
              <w:spacing w:before="0" w:after="0" w:line="264" w:lineRule="auto"/>
            </w:pPr>
            <w:r>
              <w:rPr>
                <w:rFonts w:ascii="Arial" w:hAnsi="Arial" w:cs="Arial" w:eastAsia="Arial"/>
                <w:color w:val="0E1E3A"/>
                <w:sz w:val="17"/>
                <w:szCs w:val="17"/>
                <w:rtl/>
              </w:rPr>
              <w:t>14.90</w:t>
            </w:r>
          </w:p>
        </w:tc>
        <w:tc>
          <w:tcPr>
            <w:tcW w:type="dxa" w:w="2494"/>
          </w:tcPr>
          <w:p>
            <w:pPr>
              <w:bidi w:val="1"/>
              <w:spacing w:before="0" w:after="0" w:line="264" w:lineRule="auto"/>
            </w:pPr>
            <w:r>
              <w:rPr>
                <w:rFonts w:ascii="Arial" w:hAnsi="Arial" w:cs="Arial" w:eastAsia="Arial"/>
                <w:color w:val="0E1E3A"/>
                <w:sz w:val="17"/>
                <w:szCs w:val="17"/>
                <w:rtl/>
              </w:rPr>
              <w:t>14.90</w:t>
            </w:r>
          </w:p>
        </w:tc>
      </w:tr>
      <w:tr>
        <w:tc>
          <w:tcPr>
            <w:tcW w:type="dxa" w:w="2494"/>
          </w:tcPr>
          <w:p>
            <w:pPr>
              <w:bidi w:val="1"/>
              <w:spacing w:before="0" w:after="0" w:line="264" w:lineRule="auto"/>
            </w:pPr>
            <w:r>
              <w:rPr>
                <w:rFonts w:ascii="Arial" w:hAnsi="Arial" w:cs="Arial" w:eastAsia="Arial"/>
                <w:color w:val="0E1E3A"/>
                <w:sz w:val="17"/>
                <w:szCs w:val="17"/>
                <w:rtl/>
              </w:rPr>
              <w:t>بيتا 4</w:t>
            </w:r>
          </w:p>
        </w:tc>
        <w:tc>
          <w:tcPr>
            <w:tcW w:type="dxa" w:w="2494"/>
          </w:tcPr>
          <w:p>
            <w:pPr>
              <w:bidi w:val="1"/>
              <w:spacing w:before="0" w:after="0" w:line="264" w:lineRule="auto"/>
            </w:pPr>
            <w:r>
              <w:rPr>
                <w:rFonts w:ascii="Arial" w:hAnsi="Arial" w:cs="Arial" w:eastAsia="Arial"/>
                <w:color w:val="0E1E3A"/>
                <w:sz w:val="17"/>
                <w:szCs w:val="17"/>
                <w:rtl/>
              </w:rPr>
              <w:t>0.70</w:t>
            </w:r>
          </w:p>
        </w:tc>
        <w:tc>
          <w:tcPr>
            <w:tcW w:type="dxa" w:w="2494"/>
          </w:tcPr>
          <w:p>
            <w:pPr>
              <w:bidi w:val="1"/>
              <w:spacing w:before="0" w:after="0" w:line="264" w:lineRule="auto"/>
            </w:pPr>
            <w:r>
              <w:rPr>
                <w:rFonts w:ascii="Arial" w:hAnsi="Arial" w:cs="Arial" w:eastAsia="Arial"/>
                <w:color w:val="0E1E3A"/>
                <w:sz w:val="17"/>
                <w:szCs w:val="17"/>
                <w:rtl/>
              </w:rPr>
              <w:t>0.51</w:t>
            </w:r>
          </w:p>
        </w:tc>
        <w:tc>
          <w:tcPr>
            <w:tcW w:type="dxa" w:w="2494"/>
          </w:tcPr>
          <w:p>
            <w:pPr>
              <w:bidi w:val="1"/>
              <w:spacing w:before="0" w:after="0" w:line="264" w:lineRule="auto"/>
            </w:pPr>
            <w:r>
              <w:rPr>
                <w:rFonts w:ascii="Arial" w:hAnsi="Arial" w:cs="Arial" w:eastAsia="Arial"/>
                <w:color w:val="0E1E3A"/>
                <w:sz w:val="17"/>
                <w:szCs w:val="17"/>
                <w:rtl/>
              </w:rPr>
              <w:t>0.51</w:t>
            </w:r>
          </w:p>
        </w:tc>
      </w:tr>
      <w:tr>
        <w:tc>
          <w:tcPr>
            <w:tcW w:type="dxa" w:w="2494"/>
          </w:tcPr>
          <w:p>
            <w:pPr>
              <w:bidi w:val="1"/>
              <w:spacing w:before="0" w:after="0" w:line="264" w:lineRule="auto"/>
            </w:pPr>
            <w:r>
              <w:rPr>
                <w:rFonts w:ascii="Arial" w:hAnsi="Arial" w:cs="Arial" w:eastAsia="Arial"/>
                <w:color w:val="0E1E3A"/>
                <w:sz w:val="17"/>
                <w:szCs w:val="17"/>
                <w:rtl/>
              </w:rPr>
              <w:t>ألفا 5</w:t>
            </w:r>
          </w:p>
        </w:tc>
        <w:tc>
          <w:tcPr>
            <w:tcW w:type="dxa" w:w="2494"/>
          </w:tcPr>
          <w:p>
            <w:pPr>
              <w:bidi w:val="1"/>
              <w:spacing w:before="0" w:after="0" w:line="264" w:lineRule="auto"/>
            </w:pPr>
            <w:r>
              <w:rPr>
                <w:rFonts w:ascii="Arial" w:hAnsi="Arial" w:cs="Arial" w:eastAsia="Arial"/>
                <w:color w:val="0E1E3A"/>
                <w:sz w:val="17"/>
                <w:szCs w:val="17"/>
                <w:rtl/>
              </w:rPr>
              <w:t>-1.05</w:t>
            </w:r>
          </w:p>
        </w:tc>
        <w:tc>
          <w:tcPr>
            <w:tcW w:type="dxa" w:w="2494"/>
          </w:tcPr>
          <w:p>
            <w:pPr>
              <w:bidi w:val="1"/>
              <w:spacing w:before="0" w:after="0" w:line="264" w:lineRule="auto"/>
            </w:pPr>
            <w:r>
              <w:rPr>
                <w:rFonts w:ascii="Arial" w:hAnsi="Arial" w:cs="Arial" w:eastAsia="Arial"/>
                <w:color w:val="0E1E3A"/>
                <w:sz w:val="17"/>
                <w:szCs w:val="17"/>
                <w:rtl/>
              </w:rPr>
              <w:t>0.73</w:t>
            </w:r>
          </w:p>
        </w:tc>
        <w:tc>
          <w:tcPr>
            <w:tcW w:type="dxa" w:w="2494"/>
          </w:tcPr>
          <w:p>
            <w:pPr>
              <w:bidi w:val="1"/>
              <w:spacing w:before="0" w:after="0" w:line="264" w:lineRule="auto"/>
            </w:pPr>
            <w:r>
              <w:rPr>
                <w:rFonts w:ascii="Arial" w:hAnsi="Arial" w:cs="Arial" w:eastAsia="Arial"/>
                <w:color w:val="0E1E3A"/>
                <w:sz w:val="17"/>
                <w:szCs w:val="17"/>
                <w:rtl/>
              </w:rPr>
              <w:t>0.73</w:t>
            </w:r>
          </w:p>
        </w:tc>
      </w:tr>
      <w:tr>
        <w:tc>
          <w:tcPr>
            <w:tcW w:type="dxa" w:w="2494"/>
          </w:tcPr>
          <w:p>
            <w:pPr>
              <w:bidi w:val="1"/>
              <w:spacing w:before="0" w:after="0" w:line="264" w:lineRule="auto"/>
            </w:pPr>
            <w:r>
              <w:rPr>
                <w:rFonts w:ascii="Arial" w:hAnsi="Arial" w:cs="Arial" w:eastAsia="Arial"/>
                <w:color w:val="0E1E3A"/>
                <w:sz w:val="17"/>
                <w:szCs w:val="17"/>
                <w:rtl/>
              </w:rPr>
              <w:t>مؤشر المعلومات 6</w:t>
            </w:r>
          </w:p>
        </w:tc>
        <w:tc>
          <w:tcPr>
            <w:tcW w:type="dxa" w:w="2494"/>
          </w:tcPr>
          <w:p>
            <w:pPr>
              <w:bidi w:val="1"/>
              <w:spacing w:before="0" w:after="0" w:line="264" w:lineRule="auto"/>
            </w:pPr>
            <w:r>
              <w:rPr>
                <w:rFonts w:ascii="Arial" w:hAnsi="Arial" w:cs="Arial" w:eastAsia="Arial"/>
                <w:color w:val="0E1E3A"/>
                <w:sz w:val="17"/>
                <w:szCs w:val="17"/>
                <w:rtl/>
              </w:rPr>
              <w:t>-0.15</w:t>
            </w:r>
          </w:p>
        </w:tc>
        <w:tc>
          <w:tcPr>
            <w:tcW w:type="dxa" w:w="2494"/>
          </w:tcPr>
          <w:p>
            <w:pPr>
              <w:bidi w:val="1"/>
              <w:spacing w:before="0" w:after="0" w:line="264" w:lineRule="auto"/>
            </w:pPr>
            <w:r>
              <w:rPr>
                <w:rFonts w:ascii="Arial" w:hAnsi="Arial" w:cs="Arial" w:eastAsia="Arial"/>
                <w:color w:val="0E1E3A"/>
                <w:sz w:val="17"/>
                <w:szCs w:val="17"/>
                <w:rtl/>
              </w:rPr>
              <w:t>0.05</w:t>
            </w:r>
          </w:p>
        </w:tc>
        <w:tc>
          <w:tcPr>
            <w:tcW w:type="dxa" w:w="2494"/>
          </w:tcPr>
          <w:p>
            <w:pPr>
              <w:bidi w:val="1"/>
              <w:spacing w:before="0" w:after="0" w:line="264" w:lineRule="auto"/>
            </w:pPr>
            <w:r>
              <w:rPr>
                <w:rFonts w:ascii="Arial" w:hAnsi="Arial" w:cs="Arial" w:eastAsia="Arial"/>
                <w:color w:val="0E1E3A"/>
                <w:sz w:val="17"/>
                <w:szCs w:val="17"/>
                <w:rtl/>
              </w:rPr>
              <w:t>0.05</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كما في تاريخ الإدراج 27 أبريل 2022م.</w:t>
      </w:r>
      <w:r>
        <w:br/>
      </w:r>
      <w:r>
        <w:rPr>
          <w:rFonts w:ascii="Arial" w:hAnsi="Arial" w:cs="Arial" w:eastAsia="Arial"/>
          <w:color w:val="5A6478"/>
          <w:sz w:val="17"/>
          <w:szCs w:val="17"/>
          <w:rtl/>
        </w:rPr>
        <w:t>1. الانحراف المعياري هو مقياس للمخاطر ويتم حسابه على أنه التذبذب بين العوائد على مدى فترة زمنية. كلما انخفض التقلب، كانت مجموعة العوائد أكثر تجانسًا.</w:t>
      </w:r>
      <w:r>
        <w:br/>
      </w:r>
      <w:r>
        <w:rPr>
          <w:rFonts w:ascii="Arial" w:hAnsi="Arial" w:cs="Arial" w:eastAsia="Arial"/>
          <w:color w:val="5A6478"/>
          <w:sz w:val="17"/>
          <w:szCs w:val="17"/>
          <w:rtl/>
        </w:rPr>
        <w:t>2. مؤشر شارب هو مقياس أداء معدل المخاطر ويتم حسابه على أنه الفرق كعائد فائض لمدير الصندوق على المعدل الخالي من المخاطر، مقسومًا على الانحراف المعياري. كلما زاد معدل شارب للمحفظة، كلما كان أداءه حسب المخاطر أفضل.</w:t>
      </w:r>
      <w:r>
        <w:br/>
      </w:r>
      <w:r>
        <w:rPr>
          <w:rFonts w:ascii="Arial" w:hAnsi="Arial" w:cs="Arial" w:eastAsia="Arial"/>
          <w:color w:val="5A6478"/>
          <w:sz w:val="17"/>
          <w:szCs w:val="17"/>
          <w:rtl/>
        </w:rPr>
        <w:t>3. خطأ التتبع هو مقياس للمخاطر ويتم حسابه على أنه الانحراف المعياري بين عائد مدير الصندوق وعائد المؤشر. كلما انخفض خطأ التتبع، كلما انحرف مدير الصندوق عن المؤشر.</w:t>
      </w:r>
      <w:r>
        <w:br/>
      </w:r>
      <w:r>
        <w:rPr>
          <w:rFonts w:ascii="Arial" w:hAnsi="Arial" w:cs="Arial" w:eastAsia="Arial"/>
          <w:color w:val="5A6478"/>
          <w:sz w:val="17"/>
          <w:szCs w:val="17"/>
          <w:rtl/>
        </w:rPr>
        <w:t>4. بيتا هو مقياس لمتوسط الحساسية التاريخية لعوائد الصندوق مقارنة بعوائد السوق، ويتم احتسابها عن طريق حساب تغاير سعر الوحدة ومؤشر السوق على تباين مؤشر السوق.</w:t>
      </w:r>
      <w:r>
        <w:br/>
      </w:r>
      <w:r>
        <w:rPr>
          <w:rFonts w:ascii="Arial" w:hAnsi="Arial" w:cs="Arial" w:eastAsia="Arial"/>
          <w:color w:val="5A6478"/>
          <w:sz w:val="17"/>
          <w:szCs w:val="17"/>
          <w:rtl/>
        </w:rPr>
        <w:t>5. ألفا يقيس أي تفوق حققه أداء الصندوق مقارنة بأداء المؤشر المرتبط به.</w:t>
      </w:r>
      <w:r>
        <w:br/>
      </w:r>
      <w:r>
        <w:rPr>
          <w:rFonts w:ascii="Arial" w:hAnsi="Arial" w:cs="Arial" w:eastAsia="Arial"/>
          <w:color w:val="5A6478"/>
          <w:sz w:val="17"/>
          <w:szCs w:val="17"/>
          <w:rtl/>
        </w:rPr>
        <w:t>6. مؤشر المعلومات هو عبارة عن مقياس أداء معدل المخاطر ويتم حسابه على أنه العائد النشط لمدير الصندوق مقسومًا على خطأ التتبع الخاص به. كلما ارتفع معدل المعلومات، كلما ازدادت قدرة مدير الصندوق على تحقيق عوائد زائدة لكل وحدة من المخاطر الزائدة.</w:t>
      </w:r>
      <w:r>
        <w:br/>
      </w:r>
      <w:r>
        <w:rPr>
          <w:rFonts w:ascii="Arial" w:hAnsi="Arial" w:cs="Arial" w:eastAsia="Arial"/>
          <w:color w:val="5A6478"/>
          <w:sz w:val="17"/>
          <w:szCs w:val="17"/>
          <w:rtl/>
        </w:rPr>
        <w:t>تم احتساب معايير الأداء والمخاطر بناءً على صافي قيمة الوحدة.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5" name="Picture 9056"/>
            <wp:cNvGraphicFramePr>
              <a:graphicFrameLocks noChangeAspect="1"/>
            </wp:cNvGraphicFramePr>
            <a:graphic>
              <a:graphicData uri="http://schemas.openxmlformats.org/drawingml/2006/picture">
                <pic:pic>
                  <pic:nvPicPr>
                    <pic:cNvPr id="0" name="ico_c788ceab6c6867ef93d8dd6b26beef99.png"/>
                    <pic:cNvPicPr/>
                  </pic:nvPicPr>
                  <pic:blipFill>
                    <a:blip r:embed="rId2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مستجدات الصندوق وأي تغيرات أساسية أو غير أساسية تؤثر على عمل الصندوق</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6" name="Picture 905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نظرة على الأسواق العالمية</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كانت أسواق الأسهم العالمية في اتجاه هابط مع زيادة التقلبات في عام 2022م، مدفوعة بشكل أساسي بالتضخم، وارتفاع أسعار الفائدة، واضطرابات سلسلة التوريد، والمخاوف الجيوسياسية في أوروبا، وسياسة الصين الخالية من الوباء. وبسبب هذه العوامل، تم تعديل توقعات نمو الأرباح والربحية إلى الأدنى مما أدى إلى ضعف أداء مؤشرات الأسهم العالمية الرئيسية</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 xml:space="preserve">يتوقع صندوق النقد الدولي أن ينمو الاقتصاد العالمي بنسبة </w:t>
      </w:r>
      <w:r>
        <w:rPr>
          <w:rFonts w:ascii="Arial" w:hAnsi="Arial" w:cs="Arial" w:eastAsia="Arial"/>
          <w:color w:val="0E1E3A"/>
          <w:sz w:val="20"/>
          <w:szCs w:val="20"/>
        </w:rPr>
        <w:t>‎2.7%‎</w:t>
      </w:r>
      <w:r>
        <w:rPr>
          <w:rFonts w:ascii="Arial" w:hAnsi="Arial" w:cs="Arial" w:eastAsia="Arial"/>
          <w:color w:val="0E1E3A"/>
          <w:sz w:val="20"/>
          <w:szCs w:val="20"/>
          <w:rtl/>
        </w:rPr>
        <w:t xml:space="preserve">، والاقتصادات المتقدمة بنسبة </w:t>
      </w:r>
      <w:r>
        <w:rPr>
          <w:rFonts w:ascii="Arial" w:hAnsi="Arial" w:cs="Arial" w:eastAsia="Arial"/>
          <w:color w:val="0E1E3A"/>
          <w:sz w:val="20"/>
          <w:szCs w:val="20"/>
        </w:rPr>
        <w:t>‎1.1%‎</w:t>
      </w:r>
      <w:r>
        <w:rPr>
          <w:rFonts w:ascii="Arial" w:hAnsi="Arial" w:cs="Arial" w:eastAsia="Arial"/>
          <w:color w:val="0E1E3A"/>
          <w:sz w:val="20"/>
          <w:szCs w:val="20"/>
          <w:rtl/>
        </w:rPr>
        <w:t xml:space="preserve">، والأسواق الناشئة بنسبة </w:t>
      </w:r>
      <w:r>
        <w:rPr>
          <w:rFonts w:ascii="Arial" w:hAnsi="Arial" w:cs="Arial" w:eastAsia="Arial"/>
          <w:color w:val="0E1E3A"/>
          <w:sz w:val="20"/>
          <w:szCs w:val="20"/>
        </w:rPr>
        <w:t>‎3.7%‎</w:t>
      </w:r>
      <w:r>
        <w:rPr>
          <w:rFonts w:ascii="Arial" w:hAnsi="Arial" w:cs="Arial" w:eastAsia="Arial"/>
          <w:color w:val="0E1E3A"/>
          <w:sz w:val="20"/>
          <w:szCs w:val="20"/>
          <w:rtl/>
        </w:rPr>
        <w:t xml:space="preserve"> في عام 2023م.</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ومن المتوقع زخم إيجابي مع ظهور مؤشرات على انخفاض التضخم وإنهاء دورة رفع أسعار الفائدة من قبل البنوك المركزية، مما سيجعل معظم المستثمرين يقومون بإعادة تقييم استثماراتهم في الأسهم ومخصصاتهم النقدية نظرًا لتقييمات الأسوق العالمية التي يتم تداولها عند مستويات تاريخية، ولكن في الأجل القصير، ومن المتوقع ارتفاع في تقلبات الأسوق العالمية من معدلات أسعار فائدة أعلى، وسياسة نقدية أكثر تشددًا.</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7" name="Picture 9058"/>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أداء صافي قيمة الوحدة للصندوق مقارنة مع المؤشر الإسترشادي منذ بداية الصندوق</w:t>
      </w:r>
    </w:p>
    <w:p>
      <w:pPr>
        <w:bidi w:val="1"/>
        <w:spacing w:before="0" w:after="80" w:line="240" w:lineRule="auto"/>
        <w:jc w:val="center"/>
      </w:pPr>
      <w:r>
        <w:drawing>
          <wp:inline xmlns:a="http://schemas.openxmlformats.org/drawingml/2006/main" xmlns:pic="http://schemas.openxmlformats.org/drawingml/2006/picture">
            <wp:extent cx="6336000" cy="3196541"/>
            <wp:docPr id="28" name="Picture 9059"/>
            <wp:cNvGraphicFramePr>
              <a:graphicFrameLocks noChangeAspect="1"/>
            </wp:cNvGraphicFramePr>
            <a:graphic>
              <a:graphicData uri="http://schemas.openxmlformats.org/drawingml/2006/picture">
                <pic:pic>
                  <pic:nvPicPr>
                    <pic:cNvPr id="0" name="x7.j.jpg"/>
                    <pic:cNvPicPr/>
                  </pic:nvPicPr>
                  <pic:blipFill>
                    <a:blip r:embed="rId25"/>
                    <a:stretch>
                      <a:fillRect/>
                    </a:stretch>
                  </pic:blipFill>
                  <pic:spPr>
                    <a:xfrm>
                      <a:off x="0" y="0"/>
                      <a:ext cx="6336000" cy="3196541"/>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9" name="Picture 9060"/>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للحصول على مزيد من المعلومات</w:t>
      </w:r>
    </w:p>
    <w:p>
      <w:pPr>
        <w:bidi w:val="1"/>
        <w:spacing w:before="0" w:after="80" w:line="312" w:lineRule="auto"/>
      </w:pPr>
      <w:r>
        <w:rPr>
          <w:rFonts w:ascii="Arial" w:hAnsi="Arial" w:cs="Arial" w:eastAsia="Arial"/>
          <w:color w:val="0E1E3A"/>
          <w:sz w:val="20"/>
          <w:szCs w:val="20"/>
          <w:rtl/>
        </w:rPr>
        <w:t>شركة الخبير المالية</w:t>
      </w:r>
      <w:r>
        <w:br/>
      </w:r>
      <w:r>
        <w:rPr>
          <w:rFonts w:ascii="Arial" w:hAnsi="Arial" w:cs="Arial" w:eastAsia="Arial"/>
          <w:color w:val="0E1E3A"/>
          <w:sz w:val="20"/>
          <w:szCs w:val="20"/>
          <w:rtl/>
        </w:rPr>
        <w:t>ص.ب 128289 جدة 21362</w:t>
      </w:r>
      <w:r>
        <w:br/>
      </w:r>
      <w:r>
        <w:rPr>
          <w:rFonts w:ascii="Arial" w:hAnsi="Arial" w:cs="Arial" w:eastAsia="Arial"/>
          <w:color w:val="0E1E3A"/>
          <w:sz w:val="20"/>
          <w:szCs w:val="20"/>
          <w:rtl/>
        </w:rPr>
        <w:t>المملكة العربية السعودية</w:t>
      </w:r>
      <w:r>
        <w:br/>
      </w:r>
      <w:r>
        <w:rPr>
          <w:rFonts w:ascii="Arial" w:hAnsi="Arial" w:cs="Arial" w:eastAsia="Arial"/>
          <w:color w:val="0E1E3A"/>
          <w:sz w:val="20"/>
          <w:szCs w:val="20"/>
          <w:rtl/>
        </w:rPr>
        <w:t xml:space="preserve">هاتف: </w:t>
      </w:r>
      <w:r>
        <w:rPr>
          <w:rFonts w:ascii="Arial" w:hAnsi="Arial" w:cs="Arial" w:eastAsia="Arial"/>
          <w:color w:val="0E1E3A"/>
          <w:sz w:val="20"/>
          <w:szCs w:val="20"/>
        </w:rPr>
        <w:t>‎+966 12 658 8888‎</w:t>
      </w:r>
      <w:r>
        <w:br/>
      </w:r>
      <w:r>
        <w:rPr>
          <w:rFonts w:ascii="Arial" w:hAnsi="Arial" w:cs="Arial" w:eastAsia="Arial"/>
          <w:color w:val="0E1E3A"/>
          <w:sz w:val="20"/>
          <w:szCs w:val="20"/>
          <w:rtl/>
        </w:rPr>
        <w:t xml:space="preserve">فاكس: </w:t>
      </w:r>
      <w:r>
        <w:rPr>
          <w:rFonts w:ascii="Arial" w:hAnsi="Arial" w:cs="Arial" w:eastAsia="Arial"/>
          <w:color w:val="0E1E3A"/>
          <w:sz w:val="20"/>
          <w:szCs w:val="20"/>
        </w:rPr>
        <w:t>‎+966 12 658 6663‎</w:t>
      </w:r>
      <w:r>
        <w:br/>
      </w:r>
      <w:r>
        <w:rPr>
          <w:rFonts w:ascii="Arial" w:hAnsi="Arial" w:cs="Arial" w:eastAsia="Arial"/>
          <w:color w:val="0E1E3A"/>
          <w:sz w:val="20"/>
          <w:szCs w:val="20"/>
          <w:rtl/>
        </w:rPr>
        <w:t>البريد الإلكتروني: info@alkhabeer.com</w:t>
      </w:r>
      <w:r>
        <w:br/>
      </w:r>
      <w:r>
        <w:rPr>
          <w:rFonts w:ascii="Arial" w:hAnsi="Arial" w:cs="Arial" w:eastAsia="Arial"/>
          <w:color w:val="0E1E3A"/>
          <w:sz w:val="20"/>
          <w:szCs w:val="20"/>
          <w:rtl/>
        </w:rPr>
        <w:t>رقم السجل التجاري: 4030177445</w:t>
      </w:r>
      <w:r>
        <w:br/>
      </w:r>
      <w:r>
        <w:rPr>
          <w:rFonts w:ascii="Arial" w:hAnsi="Arial" w:cs="Arial" w:eastAsia="Arial"/>
          <w:color w:val="0E1E3A"/>
          <w:sz w:val="20"/>
          <w:szCs w:val="20"/>
          <w:rtl/>
        </w:rPr>
        <w:t xml:space="preserve">الرخصة الصادرة من هيئة السوق المالية: </w:t>
      </w:r>
      <w:r>
        <w:rPr>
          <w:rFonts w:ascii="Arial" w:hAnsi="Arial" w:cs="Arial" w:eastAsia="Arial"/>
          <w:color w:val="0E1E3A"/>
          <w:sz w:val="20"/>
          <w:szCs w:val="20"/>
        </w:rPr>
        <w:t>‎07074-37‎</w:t>
      </w:r>
      <w:r>
        <w:br/>
      </w:r>
      <w:r>
        <w:rPr>
          <w:rFonts w:ascii="Arial" w:hAnsi="Arial" w:cs="Arial" w:eastAsia="Arial"/>
          <w:color w:val="0E1E3A"/>
          <w:sz w:val="20"/>
          <w:szCs w:val="20"/>
          <w:rtl/>
        </w:rPr>
        <w:t>www.alkhabeer.com</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30" name="Picture 9061"/>
            <wp:cNvGraphicFramePr>
              <a:graphicFrameLocks noChangeAspect="1"/>
            </wp:cNvGraphicFramePr>
            <a:graphic>
              <a:graphicData uri="http://schemas.openxmlformats.org/drawingml/2006/picture">
                <pic:pic>
                  <pic:nvPicPr>
                    <pic:cNvPr id="0" name="ico_31799530e5dd3dc5b4ca7f2d37945432.png"/>
                    <pic:cNvPicPr/>
                  </pic:nvPicPr>
                  <pic:blipFill>
                    <a:blip r:embed="rId26"/>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إشعار مهم</w:t>
      </w:r>
    </w:p>
    <w:p>
      <w:pPr>
        <w:bidi w:val="1"/>
        <w:spacing w:before="0" w:after="80" w:line="312" w:lineRule="auto"/>
      </w:pPr>
      <w:r>
        <w:rPr>
          <w:rFonts w:ascii="Arial" w:hAnsi="Arial" w:cs="Arial" w:eastAsia="Arial"/>
          <w:color w:val="5A6478"/>
          <w:sz w:val="17"/>
          <w:szCs w:val="17"/>
          <w:rtl/>
        </w:rPr>
        <w:t>لا تمثل هذه الوثيقة عرضًا للشراء أو الاكتتاب أو المشاركة بأي شكل في صندوق "الخبير للنمو والدخل المتداول"، ولا تشكل الوثيقة (أو أي جزءٍ منها) أساسا ولا ينبغي الاعتماد عليها للقيام بما تقدم أو محفزًا لإبرام أي تعاقد مهما كان نوعه. يجب على المستثمرين المحتملين قراءة شروط وأحكام صندوق "الخبير للنمو والدخل المتداول" وما ورد فيها بشأن مخاطر الاستثمار ووثائقه الأخرى بعناية ودقة قبل اتخاذ القرار وذلك من خلال الموقع الإلكتروني لشركة "الخبير المالية": www.alkhabeer.com. هذا الاستثمار ليس وديعة نقدية لدى بنك محلي. ويمكن أن ترتفع أو تنخفض قيمة الاستثمار وأي دخل آخر متحقق منه. كما يتوجب على جميع المستثمرين الراغبين في الاستثمار التوصل إلى قرارهم بالتشاور مع مستشاريهم الماليين والقانونيين وتقييم جميع المخاطر التي ينطوي عليها الاستثمار. كما لا يمكن إعطاء ضمان بأن النتائج المستهدفة والمتوقعة سوف تتحقق، وبالإضافة إلى ذلك، فإن الأداء السابق لا يضمن النتائج المستقبلية للصندوق. يعد استثمار المستثمر في الصندوق إقرارًا منه باطلاعه على شروط وأحكام الصندوق وقبوله بها. تنتفي المسؤولية عن مدير الصندوق أو أي من تابعيه في حال وقوع أي خسارة مالية للصندوق ما لم يكن ذلك ناتجًا عن أسباب متعمدة من قبل مدير الصندوق.</w:t>
      </w:r>
    </w:p>
    <w:sectPr w:rsidR="00FC693F" w:rsidRPr="0006063C" w:rsidSect="00034616">
      <w:headerReference w:type="default" r:id="rId9"/>
      <w:headerReference w:type="first" r:id="rId11"/>
      <w:footerReference w:type="default" r:id="rId10"/>
      <w:footerReference w:type="first" r:id="rId12"/>
      <w:pgSz w:w="11906" w:h="16838"/>
      <w:pgMar w:top="1247" w:right="964" w:bottom="1134" w:left="964" w:header="567" w:footer="510" w:gutter="0"/>
      <w:cols w:space="720"/>
      <w:titlePg/>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0" w:after="0" w:line="240" w:lineRule="auto"/>
    </w:pPr>
    <w:r/>
    <w:r>
      <w:rPr>
        <w:rFonts w:ascii="Arial" w:hAnsi="Arial" w:cs="Arial" w:eastAsia="Arial"/>
        <w:color w:val="5A6478"/>
        <w:sz w:val="15"/>
        <w:szCs w:val="15"/>
        <w:rtl/>
      </w:rPr>
      <w:t xml:space="preserve">الخبير المالية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0" w:after="0" w:line="240" w:lineRule="auto"/>
    </w:pPr>
    <w:r/>
    <w:r>
      <w:rPr>
        <w:rFonts w:ascii="Arial" w:hAnsi="Arial" w:cs="Arial" w:eastAsia="Arial"/>
        <w:color w:val="5A6478"/>
        <w:sz w:val="15"/>
        <w:szCs w:val="15"/>
        <w:rtl/>
      </w:rPr>
      <w:t xml:space="preserve">الخبير المالية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DCE3EE"/>
      </w:pBdr>
      <w:bidi w:val="1"/>
      <w:spacing w:before="0" w:after="0" w:line="240" w:lineRule="auto"/>
    </w:pPr>
    <w:r/>
    <w:r>
      <w:rPr>
        <w:rFonts w:ascii="Arial" w:hAnsi="Arial" w:cs="Arial" w:eastAsia="Arial"/>
        <w:color w:val="5A6478"/>
        <w:sz w:val="15"/>
        <w:szCs w:val="15"/>
        <w:rtl/>
      </w:rPr>
      <w:t>البيان الربع سنوي</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ar-SA"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val="1"/>
    </w:pPr>
    <w:rPr>
      <w:rFonts w:ascii="Arial" w:hAnsi="Arial" w:cs="Arial" w:eastAsia="Arial"/>
      <w:sz w:val="20"/>
      <w:rt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bidi w:val="1"/>
      <w:spacing w:before="0" w:after="100"/>
      <w:outlineLvl w:val="0"/>
    </w:pPr>
    <w:rPr>
      <w:rFonts w:ascii="Arial" w:hAnsi="Arial" w:cs="Arial" w:eastAsia="Arial"/>
      <w:b/>
      <w:bCs/>
      <w:color w:val="12284B"/>
      <w:sz w:val="36"/>
      <w:szCs w:val="28"/>
      <w:rtl/>
    </w:rPr>
  </w:style>
  <w:style w:type="paragraph" w:styleId="Heading2">
    <w:name w:val="heading 2"/>
    <w:basedOn w:val="Normal"/>
    <w:next w:val="Normal"/>
    <w:link w:val="Heading2Char"/>
    <w:uiPriority w:val="9"/>
    <w:unhideWhenUsed/>
    <w:qFormat/>
    <w:rsid w:val="00FC693F"/>
    <w:pPr>
      <w:keepNext/>
      <w:keepLines/>
      <w:bidi w:val="1"/>
      <w:spacing w:before="200" w:after="100"/>
      <w:outlineLvl w:val="1"/>
    </w:pPr>
    <w:rPr>
      <w:rFonts w:ascii="Arial" w:hAnsi="Arial" w:cs="Arial" w:eastAsia="Arial"/>
      <w:b/>
      <w:bCs/>
      <w:color w:val="12284B"/>
      <w:sz w:val="26"/>
      <w:szCs w:val="26"/>
      <w:rtl/>
    </w:rPr>
  </w:style>
  <w:style w:type="paragraph" w:styleId="Heading3">
    <w:name w:val="heading 3"/>
    <w:basedOn w:val="Normal"/>
    <w:next w:val="Normal"/>
    <w:link w:val="Heading3Char"/>
    <w:uiPriority w:val="9"/>
    <w:unhideWhenUsed/>
    <w:qFormat/>
    <w:rsid w:val="00FC693F"/>
    <w:pPr>
      <w:keepNext/>
      <w:keepLines/>
      <w:bidi w:val="1"/>
      <w:spacing w:before="200" w:after="100"/>
      <w:outlineLvl w:val="2"/>
    </w:pPr>
    <w:rPr>
      <w:rFonts w:ascii="Arial" w:hAnsi="Arial" w:cs="Arial" w:eastAsia="Arial"/>
      <w:b/>
      <w:bCs/>
      <w:color w:val="12284B"/>
      <w:sz w:val="22"/>
      <w:rtl/>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bidi w:val="1"/>
      <w:spacing w:after="300" w:line="240" w:lineRule="auto"/>
      <w:contextualSpacing/>
    </w:pPr>
    <w:rPr>
      <w:rFonts w:ascii="Arial" w:hAnsi="Arial" w:cs="Arial" w:eastAsia="Arial"/>
      <w:color w:val="17365D" w:themeColor="text2" w:themeShade="BF"/>
      <w:spacing w:val="5"/>
      <w:kern w:val="28"/>
      <w:sz w:val="52"/>
      <w:szCs w:val="52"/>
      <w:rt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bidi w:val="1"/>
      <w:ind w:left="720"/>
      <w:contextualSpacing/>
    </w:pPr>
    <w:rPr>
      <w:rFonts w:ascii="Arial" w:hAnsi="Arial" w:cs="Arial" w:eastAsia="Arial"/>
      <w:rt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sz w:val="22"/>
        <w:szCs w:val="22"/>
        <w:lang w:val="en-US" w:eastAsia="Arial"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jpg"/><Relationship Id="rId26"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صندوق الخبير للنمو والدخل — البيان الربع سنوي الربع الرابع 2022م</dc:title>
  <dc:subject/>
  <dc:creator>Alkhabeer Capital</dc:creator>
  <cp:keywords/>
  <dc:description>generated by python-docx</dc:description>
  <cp:lastModifiedBy/>
  <cp:revision>1</cp:revision>
  <dcterms:created xsi:type="dcterms:W3CDTF">2013-12-23T23:15:00Z</dcterms:created>
  <dcterms:modified xsi:type="dcterms:W3CDTF">2013-12-23T23:15:00Z</dcterms:modified>
  <cp:category/>
  <dc:language>ar-SA</dc:language>
</cp:coreProperties>
</file>