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2"/>
            <wp:cNvGraphicFramePr/>
            <a:graphic>
              <a:graphicData uri="http://schemas.openxmlformats.org/drawingml/2006/picture">
                <pic:pic>
                  <pic:nvPicPr>
                    <pic:cNvPr id="9032" name="banner903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9.4409</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949,459,719</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2022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949,459,719</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944,090,819</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OUT OF FUND AVERAGE NET ASSET VALUE FOR THE REPORTING QUARTER</w:t>
            </w:r>
          </w:p>
        </w:tc>
        <w:tc>
          <w:tcPr>
            <w:tcW w:type="dxa" w:w="6860"/>
          </w:tcPr>
          <w:p>
            <w:pPr>
              <w:spacing w:before="0" w:after="0" w:line="276" w:lineRule="auto"/>
            </w:pPr>
            <w:r>
              <w:rPr>
                <w:rFonts w:ascii="Arial" w:hAnsi="Arial" w:cs="Arial" w:eastAsia="Arial"/>
                <w:b/>
                <w:bCs/>
                <w:color w:val="0E1E3A"/>
                <w:sz w:val="18"/>
                <w:szCs w:val="18"/>
              </w:rPr>
              <w:t>SAR 56,254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3,530,868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0.39%</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2022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w:t>
      </w:r>
      <w:r>
        <w:br/>
      </w:r>
      <w:r>
        <w:rPr>
          <w:rFonts w:ascii="Arial" w:hAnsi="Arial" w:cs="Arial" w:eastAsia="Arial"/>
          <w:color w:val="5A6478"/>
          <w:sz w:val="17"/>
          <w:szCs w:val="17"/>
        </w:rPr>
        <w:t>**** Fund's average net asset value during the reporting quarter = SAR 910,535,598.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44757"/>
            <wp:docPr id="10" name="Picture 904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44757"/>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425946"/>
            <wp:docPr id="12" name="Picture 9043"/>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42594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912,877,261</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36,582,456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6" name="Picture 9047"/>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2022)</w:t>
            </w:r>
          </w:p>
        </w:tc>
        <w:tc>
          <w:tcPr>
            <w:tcW w:type="dxa" w:w="6860"/>
          </w:tcPr>
          <w:p>
            <w:pPr>
              <w:spacing w:before="0" w:after="0" w:line="276" w:lineRule="auto"/>
            </w:pPr>
            <w:r>
              <w:rPr>
                <w:rFonts w:ascii="Arial" w:hAnsi="Arial" w:cs="Arial" w:eastAsia="Arial"/>
                <w:b/>
                <w:bCs/>
                <w:color w:val="0E1E3A"/>
                <w:sz w:val="18"/>
                <w:szCs w:val="18"/>
              </w:rPr>
              <w:t>SAR 5.69</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(FROM 29 SEPTEMBER 2022 TO 29 DECEMBER 2022)</w:t>
            </w:r>
          </w:p>
        </w:tc>
        <w:tc>
          <w:tcPr>
            <w:tcW w:type="dxa" w:w="6860"/>
          </w:tcPr>
          <w:p>
            <w:pPr>
              <w:spacing w:before="0" w:after="0" w:line="276" w:lineRule="auto"/>
            </w:pPr>
            <w:r>
              <w:rPr>
                <w:rFonts w:ascii="Arial" w:hAnsi="Arial" w:cs="Arial" w:eastAsia="Arial"/>
                <w:b/>
                <w:bCs/>
                <w:color w:val="0E1E3A"/>
                <w:sz w:val="18"/>
                <w:szCs w:val="18"/>
              </w:rPr>
              <w:t>-7.78%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2022)</w:t>
            </w:r>
          </w:p>
        </w:tc>
        <w:tc>
          <w:tcPr>
            <w:tcW w:type="dxa" w:w="6860"/>
          </w:tcPr>
          <w:p>
            <w:pPr>
              <w:spacing w:before="0" w:after="0" w:line="276" w:lineRule="auto"/>
            </w:pPr>
            <w:r>
              <w:rPr>
                <w:rFonts w:ascii="Arial" w:hAnsi="Arial" w:cs="Arial" w:eastAsia="Arial"/>
                <w:b/>
                <w:bCs/>
                <w:color w:val="0E1E3A"/>
                <w:sz w:val="18"/>
                <w:szCs w:val="18"/>
              </w:rPr>
              <w:t>-43.10%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9.06</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5.66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w:t>
            </w:r>
          </w:p>
        </w:tc>
        <w:tc>
          <w:tcPr>
            <w:tcW w:type="dxa" w:w="6860"/>
          </w:tcPr>
          <w:p>
            <w:pPr>
              <w:spacing w:before="0" w:after="0" w:line="276" w:lineRule="auto"/>
            </w:pPr>
            <w:r>
              <w:rPr>
                <w:rFonts w:ascii="Arial" w:hAnsi="Arial" w:cs="Arial" w:eastAsia="Arial"/>
                <w:b/>
                <w:bCs/>
                <w:color w:val="0E1E3A"/>
                <w:sz w:val="18"/>
                <w:szCs w:val="18"/>
              </w:rPr>
              <w:t>100,000,000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9"/>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3,530,952</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LOSS ON THE FUND'S INVESTMENTS</w:t>
            </w:r>
          </w:p>
        </w:tc>
        <w:tc>
          <w:tcPr>
            <w:tcW w:type="dxa" w:w="6860"/>
          </w:tcPr>
          <w:p>
            <w:pPr>
              <w:spacing w:before="0" w:after="0" w:line="276" w:lineRule="auto"/>
            </w:pPr>
            <w:r>
              <w:rPr>
                <w:rFonts w:ascii="Arial" w:hAnsi="Arial" w:cs="Arial" w:eastAsia="Arial"/>
                <w:b/>
                <w:bCs/>
                <w:color w:val="0E1E3A"/>
                <w:sz w:val="18"/>
                <w:szCs w:val="18"/>
              </w:rPr>
              <w:t>SAR (402,446)</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 ON THE FUND'S INVESTMENTS</w:t>
            </w:r>
          </w:p>
        </w:tc>
        <w:tc>
          <w:tcPr>
            <w:tcW w:type="dxa" w:w="6860"/>
          </w:tcPr>
          <w:p>
            <w:pPr>
              <w:spacing w:before="0" w:after="0" w:line="276" w:lineRule="auto"/>
            </w:pPr>
            <w:r>
              <w:rPr>
                <w:rFonts w:ascii="Arial" w:hAnsi="Arial" w:cs="Arial" w:eastAsia="Arial"/>
                <w:b/>
                <w:bCs/>
                <w:color w:val="0E1E3A"/>
                <w:sz w:val="18"/>
                <w:szCs w:val="18"/>
              </w:rPr>
              <w:t>SAR 6,955,581</w:t>
            </w:r>
          </w:p>
        </w:tc>
      </w:tr>
      <w:tr>
        <w:tc>
          <w:tcPr>
            <w:tcW w:type="dxa" w:w="3118"/>
            <w:shd w:val="clear" w:color="auto" w:fill="F3F6FB"/>
          </w:tcPr>
          <w:p>
            <w:pPr>
              <w:spacing w:before="0" w:after="0" w:line="276" w:lineRule="auto"/>
            </w:pPr>
            <w:r>
              <w:rPr>
                <w:rFonts w:ascii="Arial" w:hAnsi="Arial" w:cs="Arial" w:eastAsia="Arial"/>
                <w:color w:val="5A6478"/>
                <w:sz w:val="18"/>
                <w:szCs w:val="18"/>
              </w:rPr>
              <w:t>GAIN FROM FOREIGN CURRENCY RATE DIFFERENCES</w:t>
            </w:r>
          </w:p>
        </w:tc>
        <w:tc>
          <w:tcPr>
            <w:tcW w:type="dxa" w:w="6860"/>
          </w:tcPr>
          <w:p>
            <w:pPr>
              <w:spacing w:before="0" w:after="0" w:line="276" w:lineRule="auto"/>
            </w:pPr>
            <w:r>
              <w:rPr>
                <w:rFonts w:ascii="Arial" w:hAnsi="Arial" w:cs="Arial" w:eastAsia="Arial"/>
                <w:b/>
                <w:bCs/>
                <w:color w:val="0E1E3A"/>
                <w:sz w:val="18"/>
                <w:szCs w:val="18"/>
              </w:rPr>
              <w:t>SAR 21,354,146</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31,438,232</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31 DECEMBER 2022</w:t>
            </w:r>
          </w:p>
        </w:tc>
        <w:tc>
          <w:tcPr>
            <w:tcW w:type="dxa" w:w="6860"/>
          </w:tcPr>
          <w:p>
            <w:pPr>
              <w:spacing w:before="0" w:after="0" w:line="276" w:lineRule="auto"/>
            </w:pPr>
            <w:r>
              <w:rPr>
                <w:rFonts w:ascii="Arial" w:hAnsi="Arial" w:cs="Arial" w:eastAsia="Arial"/>
                <w:b/>
                <w:bCs/>
                <w:color w:val="0E1E3A"/>
                <w:sz w:val="18"/>
                <w:szCs w:val="18"/>
              </w:rPr>
              <w:t>5.53%</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TO NET ASSET VALUE PER UNIT SINCE THE DATE OF INCEPTION</w:t>
            </w:r>
          </w:p>
        </w:tc>
        <w:tc>
          <w:tcPr>
            <w:tcW w:type="dxa" w:w="6860"/>
          </w:tcPr>
          <w:p>
            <w:pPr>
              <w:spacing w:before="0" w:after="0" w:line="276" w:lineRule="auto"/>
            </w:pPr>
            <w:r>
              <w:rPr>
                <w:rFonts w:ascii="Arial" w:hAnsi="Arial" w:cs="Arial" w:eastAsia="Arial"/>
                <w:b/>
                <w:bCs/>
                <w:color w:val="0E1E3A"/>
                <w:sz w:val="18"/>
                <w:szCs w:val="18"/>
              </w:rPr>
              <w:t>-5.59%</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15.30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8.7698</w:t>
            </w:r>
          </w:p>
        </w:tc>
        <w:tc>
          <w:tcPr>
            <w:tcW w:type="dxa" w:w="3326"/>
          </w:tcPr>
          <w:p>
            <w:pPr>
              <w:spacing w:before="0" w:after="0" w:line="264" w:lineRule="auto"/>
            </w:pPr>
            <w:r>
              <w:rPr>
                <w:rFonts w:ascii="Arial" w:hAnsi="Arial" w:cs="Arial" w:eastAsia="Arial"/>
                <w:color w:val="0E1E3A"/>
                <w:sz w:val="17"/>
                <w:szCs w:val="17"/>
              </w:rPr>
              <w:t>82.3496</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9.4409</w:t>
            </w:r>
          </w:p>
        </w:tc>
        <w:tc>
          <w:tcPr>
            <w:tcW w:type="dxa" w:w="3326"/>
          </w:tcPr>
          <w:p>
            <w:pPr>
              <w:spacing w:before="0" w:after="0" w:line="264" w:lineRule="auto"/>
            </w:pPr>
            <w:r>
              <w:rPr>
                <w:rFonts w:ascii="Arial" w:hAnsi="Arial" w:cs="Arial" w:eastAsia="Arial"/>
                <w:color w:val="0E1E3A"/>
                <w:sz w:val="17"/>
                <w:szCs w:val="17"/>
              </w:rPr>
              <w:t>88.7616</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7.65%</w:t>
            </w:r>
          </w:p>
        </w:tc>
        <w:tc>
          <w:tcPr>
            <w:tcW w:type="dxa" w:w="3326"/>
          </w:tcPr>
          <w:p>
            <w:pPr>
              <w:spacing w:before="0" w:after="0" w:line="264" w:lineRule="auto"/>
            </w:pPr>
            <w:r>
              <w:rPr>
                <w:rFonts w:ascii="Arial" w:hAnsi="Arial" w:cs="Arial" w:eastAsia="Arial"/>
                <w:color w:val="0E1E3A"/>
                <w:sz w:val="17"/>
                <w:szCs w:val="17"/>
              </w:rPr>
              <w:t>7.79%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ITEM</w:t>
            </w:r>
          </w:p>
        </w:tc>
        <w:tc>
          <w:tcPr>
            <w:tcW w:type="dxa" w:w="2494"/>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2494"/>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TOTAL RETURN TO NET ASSET VALUE PER UNIT (FUND PERFORMANCE)</w:t>
            </w:r>
          </w:p>
        </w:tc>
        <w:tc>
          <w:tcPr>
            <w:tcW w:type="dxa" w:w="2494"/>
          </w:tcPr>
          <w:p>
            <w:pPr>
              <w:spacing w:before="0" w:after="0" w:line="264" w:lineRule="auto"/>
            </w:pPr>
            <w:r>
              <w:rPr>
                <w:rFonts w:ascii="Arial" w:hAnsi="Arial" w:cs="Arial" w:eastAsia="Arial"/>
                <w:color w:val="0E1E3A"/>
                <w:sz w:val="17"/>
                <w:szCs w:val="17"/>
              </w:rPr>
              <w:t>7.65%</w:t>
            </w:r>
          </w:p>
        </w:tc>
        <w:tc>
          <w:tcPr>
            <w:tcW w:type="dxa" w:w="2494"/>
          </w:tcPr>
          <w:p>
            <w:pPr>
              <w:spacing w:before="0" w:after="0" w:line="264" w:lineRule="auto"/>
            </w:pPr>
            <w:r>
              <w:rPr>
                <w:rFonts w:ascii="Arial" w:hAnsi="Arial" w:cs="Arial" w:eastAsia="Arial"/>
                <w:color w:val="0E1E3A"/>
                <w:sz w:val="17"/>
                <w:szCs w:val="17"/>
              </w:rPr>
              <w:t>-5.59%</w:t>
            </w:r>
          </w:p>
        </w:tc>
        <w:tc>
          <w:tcPr>
            <w:tcW w:type="dxa" w:w="2494"/>
          </w:tcPr>
          <w:p>
            <w:pPr>
              <w:spacing w:before="0" w:after="0" w:line="264" w:lineRule="auto"/>
            </w:pPr>
            <w:r>
              <w:rPr>
                <w:rFonts w:ascii="Arial" w:hAnsi="Arial" w:cs="Arial" w:eastAsia="Arial"/>
                <w:color w:val="0E1E3A"/>
                <w:sz w:val="17"/>
                <w:szCs w:val="17"/>
              </w:rPr>
              <w:t>-5.59%</w:t>
            </w:r>
          </w:p>
        </w:tc>
      </w:tr>
      <w:tr>
        <w:tc>
          <w:tcPr>
            <w:tcW w:type="dxa" w:w="2494"/>
          </w:tcPr>
          <w:p>
            <w:pPr>
              <w:spacing w:before="0" w:after="0" w:line="264" w:lineRule="auto"/>
            </w:pPr>
            <w:r>
              <w:rPr>
                <w:rFonts w:ascii="Arial" w:hAnsi="Arial" w:cs="Arial" w:eastAsia="Arial"/>
                <w:color w:val="0E1E3A"/>
                <w:sz w:val="17"/>
                <w:szCs w:val="17"/>
              </w:rPr>
              <w:t>BENCHMARK PERFORMANCE</w:t>
            </w:r>
          </w:p>
        </w:tc>
        <w:tc>
          <w:tcPr>
            <w:tcW w:type="dxa" w:w="2494"/>
          </w:tcPr>
          <w:p>
            <w:pPr>
              <w:spacing w:before="0" w:after="0" w:line="264" w:lineRule="auto"/>
            </w:pPr>
            <w:r>
              <w:rPr>
                <w:rFonts w:ascii="Arial" w:hAnsi="Arial" w:cs="Arial" w:eastAsia="Arial"/>
                <w:color w:val="0E1E3A"/>
                <w:sz w:val="17"/>
                <w:szCs w:val="17"/>
              </w:rPr>
              <w:t>7.79%</w:t>
            </w:r>
          </w:p>
        </w:tc>
        <w:tc>
          <w:tcPr>
            <w:tcW w:type="dxa" w:w="2494"/>
          </w:tcPr>
          <w:p>
            <w:pPr>
              <w:spacing w:before="0" w:after="0" w:line="264" w:lineRule="auto"/>
            </w:pPr>
            <w:r>
              <w:rPr>
                <w:rFonts w:ascii="Arial" w:hAnsi="Arial" w:cs="Arial" w:eastAsia="Arial"/>
                <w:color w:val="0E1E3A"/>
                <w:sz w:val="17"/>
                <w:szCs w:val="17"/>
              </w:rPr>
              <w:t>-6.71%</w:t>
            </w:r>
          </w:p>
        </w:tc>
        <w:tc>
          <w:tcPr>
            <w:tcW w:type="dxa" w:w="2494"/>
          </w:tcPr>
          <w:p>
            <w:pPr>
              <w:spacing w:before="0" w:after="0" w:line="264" w:lineRule="auto"/>
            </w:pPr>
            <w:r>
              <w:rPr>
                <w:rFonts w:ascii="Arial" w:hAnsi="Arial" w:cs="Arial" w:eastAsia="Arial"/>
                <w:color w:val="0E1E3A"/>
                <w:sz w:val="17"/>
                <w:szCs w:val="17"/>
              </w:rPr>
              <w:t>-6.71%</w:t>
            </w:r>
          </w:p>
        </w:tc>
      </w:tr>
      <w:tr>
        <w:tc>
          <w:tcPr>
            <w:tcW w:type="dxa" w:w="2494"/>
          </w:tcPr>
          <w:p>
            <w:pPr>
              <w:spacing w:before="0" w:after="0" w:line="264" w:lineRule="auto"/>
            </w:pPr>
            <w:r>
              <w:rPr>
                <w:rFonts w:ascii="Arial" w:hAnsi="Arial" w:cs="Arial" w:eastAsia="Arial"/>
                <w:color w:val="0E1E3A"/>
                <w:sz w:val="17"/>
                <w:szCs w:val="17"/>
              </w:rPr>
              <w:t>PERFORMANCE SPREAD</w:t>
            </w:r>
          </w:p>
        </w:tc>
        <w:tc>
          <w:tcPr>
            <w:tcW w:type="dxa" w:w="2494"/>
          </w:tcPr>
          <w:p>
            <w:pPr>
              <w:spacing w:before="0" w:after="0" w:line="264" w:lineRule="auto"/>
            </w:pPr>
            <w:r>
              <w:rPr>
                <w:rFonts w:ascii="Arial" w:hAnsi="Arial" w:cs="Arial" w:eastAsia="Arial"/>
                <w:color w:val="0E1E3A"/>
                <w:sz w:val="17"/>
                <w:szCs w:val="17"/>
              </w:rPr>
              <w:t>-0.14%</w:t>
            </w:r>
          </w:p>
        </w:tc>
        <w:tc>
          <w:tcPr>
            <w:tcW w:type="dxa" w:w="2494"/>
          </w:tcPr>
          <w:p>
            <w:pPr>
              <w:spacing w:before="0" w:after="0" w:line="264" w:lineRule="auto"/>
            </w:pPr>
            <w:r>
              <w:rPr>
                <w:rFonts w:ascii="Arial" w:hAnsi="Arial" w:cs="Arial" w:eastAsia="Arial"/>
                <w:color w:val="0E1E3A"/>
                <w:sz w:val="17"/>
                <w:szCs w:val="17"/>
              </w:rPr>
              <w:t>1.12%</w:t>
            </w:r>
          </w:p>
        </w:tc>
        <w:tc>
          <w:tcPr>
            <w:tcW w:type="dxa" w:w="2494"/>
          </w:tcPr>
          <w:p>
            <w:pPr>
              <w:spacing w:before="0" w:after="0" w:line="264" w:lineRule="auto"/>
            </w:pPr>
            <w:r>
              <w:rPr>
                <w:rFonts w:ascii="Arial" w:hAnsi="Arial" w:cs="Arial" w:eastAsia="Arial"/>
                <w:color w:val="0E1E3A"/>
                <w:sz w:val="17"/>
                <w:szCs w:val="17"/>
              </w:rPr>
              <w:t>1.12%</w:t>
            </w:r>
          </w:p>
        </w:tc>
      </w:tr>
    </w:tbl>
    <w:p>
      <w:pPr>
        <w:spacing w:before="0" w:after="40" w:line="300" w:lineRule="auto"/>
      </w:pPr>
    </w:p>
    <w:p>
      <w:pPr>
        <w:spacing w:before="0" w:after="80" w:line="312" w:lineRule="auto"/>
      </w:pPr>
      <w:r>
        <w:rPr>
          <w:rFonts w:ascii="Arial" w:hAnsi="Arial" w:cs="Arial" w:eastAsia="Arial"/>
          <w:color w:val="5A6478"/>
          <w:sz w:val="17"/>
          <w:szCs w:val="17"/>
        </w:rPr>
        <w:t>* As at the Listing Date, 27 April 2022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5"/>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2494"/>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2494"/>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STANDARD DEVIATION1</w:t>
            </w:r>
          </w:p>
        </w:tc>
        <w:tc>
          <w:tcPr>
            <w:tcW w:type="dxa" w:w="2494"/>
          </w:tcPr>
          <w:p>
            <w:pPr>
              <w:spacing w:before="0" w:after="0" w:line="264" w:lineRule="auto"/>
            </w:pPr>
            <w:r>
              <w:rPr>
                <w:rFonts w:ascii="Arial" w:hAnsi="Arial" w:cs="Arial" w:eastAsia="Arial"/>
                <w:color w:val="0E1E3A"/>
                <w:sz w:val="17"/>
                <w:szCs w:val="17"/>
              </w:rPr>
              <w:t>9.93</w:t>
            </w:r>
          </w:p>
        </w:tc>
        <w:tc>
          <w:tcPr>
            <w:tcW w:type="dxa" w:w="2494"/>
          </w:tcPr>
          <w:p>
            <w:pPr>
              <w:spacing w:before="0" w:after="0" w:line="264" w:lineRule="auto"/>
            </w:pPr>
            <w:r>
              <w:rPr>
                <w:rFonts w:ascii="Arial" w:hAnsi="Arial" w:cs="Arial" w:eastAsia="Arial"/>
                <w:color w:val="0E1E3A"/>
                <w:sz w:val="17"/>
                <w:szCs w:val="17"/>
              </w:rPr>
              <w:t>15.11</w:t>
            </w:r>
          </w:p>
        </w:tc>
        <w:tc>
          <w:tcPr>
            <w:tcW w:type="dxa" w:w="2494"/>
          </w:tcPr>
          <w:p>
            <w:pPr>
              <w:spacing w:before="0" w:after="0" w:line="264" w:lineRule="auto"/>
            </w:pPr>
            <w:r>
              <w:rPr>
                <w:rFonts w:ascii="Arial" w:hAnsi="Arial" w:cs="Arial" w:eastAsia="Arial"/>
                <w:color w:val="0E1E3A"/>
                <w:sz w:val="17"/>
                <w:szCs w:val="17"/>
              </w:rPr>
              <w:t>15.11</w:t>
            </w:r>
          </w:p>
        </w:tc>
      </w:tr>
      <w:tr>
        <w:tc>
          <w:tcPr>
            <w:tcW w:type="dxa" w:w="2494"/>
          </w:tcPr>
          <w:p>
            <w:pPr>
              <w:spacing w:before="0" w:after="0" w:line="264" w:lineRule="auto"/>
            </w:pPr>
            <w:r>
              <w:rPr>
                <w:rFonts w:ascii="Arial" w:hAnsi="Arial" w:cs="Arial" w:eastAsia="Arial"/>
                <w:color w:val="0E1E3A"/>
                <w:sz w:val="17"/>
                <w:szCs w:val="17"/>
              </w:rPr>
              <w:t>SHARPE RATIO2</w:t>
            </w:r>
          </w:p>
        </w:tc>
        <w:tc>
          <w:tcPr>
            <w:tcW w:type="dxa" w:w="2494"/>
          </w:tcPr>
          <w:p>
            <w:pPr>
              <w:spacing w:before="0" w:after="0" w:line="264" w:lineRule="auto"/>
            </w:pPr>
            <w:r>
              <w:rPr>
                <w:rFonts w:ascii="Arial" w:hAnsi="Arial" w:cs="Arial" w:eastAsia="Arial"/>
                <w:color w:val="0E1E3A"/>
                <w:sz w:val="17"/>
                <w:szCs w:val="17"/>
              </w:rPr>
              <w:t>0.29</w:t>
            </w:r>
          </w:p>
        </w:tc>
        <w:tc>
          <w:tcPr>
            <w:tcW w:type="dxa" w:w="2494"/>
          </w:tcPr>
          <w:p>
            <w:pPr>
              <w:spacing w:before="0" w:after="0" w:line="264" w:lineRule="auto"/>
            </w:pPr>
            <w:r>
              <w:rPr>
                <w:rFonts w:ascii="Arial" w:hAnsi="Arial" w:cs="Arial" w:eastAsia="Arial"/>
                <w:color w:val="0E1E3A"/>
                <w:sz w:val="17"/>
                <w:szCs w:val="17"/>
              </w:rPr>
              <w:t>-0.56</w:t>
            </w:r>
          </w:p>
        </w:tc>
        <w:tc>
          <w:tcPr>
            <w:tcW w:type="dxa" w:w="2494"/>
          </w:tcPr>
          <w:p>
            <w:pPr>
              <w:spacing w:before="0" w:after="0" w:line="264" w:lineRule="auto"/>
            </w:pPr>
            <w:r>
              <w:rPr>
                <w:rFonts w:ascii="Arial" w:hAnsi="Arial" w:cs="Arial" w:eastAsia="Arial"/>
                <w:color w:val="0E1E3A"/>
                <w:sz w:val="17"/>
                <w:szCs w:val="17"/>
              </w:rPr>
              <w:t>-0.56</w:t>
            </w:r>
          </w:p>
        </w:tc>
      </w:tr>
      <w:tr>
        <w:tc>
          <w:tcPr>
            <w:tcW w:type="dxa" w:w="2494"/>
          </w:tcPr>
          <w:p>
            <w:pPr>
              <w:spacing w:before="0" w:after="0" w:line="264" w:lineRule="auto"/>
            </w:pPr>
            <w:r>
              <w:rPr>
                <w:rFonts w:ascii="Arial" w:hAnsi="Arial" w:cs="Arial" w:eastAsia="Arial"/>
                <w:color w:val="0E1E3A"/>
                <w:sz w:val="17"/>
                <w:szCs w:val="17"/>
              </w:rPr>
              <w:t>TRACKING ERROR3</w:t>
            </w:r>
          </w:p>
        </w:tc>
        <w:tc>
          <w:tcPr>
            <w:tcW w:type="dxa" w:w="2494"/>
          </w:tcPr>
          <w:p>
            <w:pPr>
              <w:spacing w:before="0" w:after="0" w:line="264" w:lineRule="auto"/>
            </w:pPr>
            <w:r>
              <w:rPr>
                <w:rFonts w:ascii="Arial" w:hAnsi="Arial" w:cs="Arial" w:eastAsia="Arial"/>
                <w:color w:val="0E1E3A"/>
                <w:sz w:val="17"/>
                <w:szCs w:val="17"/>
              </w:rPr>
              <w:t>7.11</w:t>
            </w:r>
          </w:p>
        </w:tc>
        <w:tc>
          <w:tcPr>
            <w:tcW w:type="dxa" w:w="2494"/>
          </w:tcPr>
          <w:p>
            <w:pPr>
              <w:spacing w:before="0" w:after="0" w:line="264" w:lineRule="auto"/>
            </w:pPr>
            <w:r>
              <w:rPr>
                <w:rFonts w:ascii="Arial" w:hAnsi="Arial" w:cs="Arial" w:eastAsia="Arial"/>
                <w:color w:val="0E1E3A"/>
                <w:sz w:val="17"/>
                <w:szCs w:val="17"/>
              </w:rPr>
              <w:t>14.90</w:t>
            </w:r>
          </w:p>
        </w:tc>
        <w:tc>
          <w:tcPr>
            <w:tcW w:type="dxa" w:w="2494"/>
          </w:tcPr>
          <w:p>
            <w:pPr>
              <w:spacing w:before="0" w:after="0" w:line="264" w:lineRule="auto"/>
            </w:pPr>
            <w:r>
              <w:rPr>
                <w:rFonts w:ascii="Arial" w:hAnsi="Arial" w:cs="Arial" w:eastAsia="Arial"/>
                <w:color w:val="0E1E3A"/>
                <w:sz w:val="17"/>
                <w:szCs w:val="17"/>
              </w:rPr>
              <w:t>14.90</w:t>
            </w:r>
          </w:p>
        </w:tc>
      </w:tr>
      <w:tr>
        <w:tc>
          <w:tcPr>
            <w:tcW w:type="dxa" w:w="2494"/>
          </w:tcPr>
          <w:p>
            <w:pPr>
              <w:spacing w:before="0" w:after="0" w:line="264" w:lineRule="auto"/>
            </w:pPr>
            <w:r>
              <w:rPr>
                <w:rFonts w:ascii="Arial" w:hAnsi="Arial" w:cs="Arial" w:eastAsia="Arial"/>
                <w:color w:val="0E1E3A"/>
                <w:sz w:val="17"/>
                <w:szCs w:val="17"/>
              </w:rPr>
              <w:t>BETA4</w:t>
            </w:r>
          </w:p>
        </w:tc>
        <w:tc>
          <w:tcPr>
            <w:tcW w:type="dxa" w:w="2494"/>
          </w:tcPr>
          <w:p>
            <w:pPr>
              <w:spacing w:before="0" w:after="0" w:line="264" w:lineRule="auto"/>
            </w:pPr>
            <w:r>
              <w:rPr>
                <w:rFonts w:ascii="Arial" w:hAnsi="Arial" w:cs="Arial" w:eastAsia="Arial"/>
                <w:color w:val="0E1E3A"/>
                <w:sz w:val="17"/>
                <w:szCs w:val="17"/>
              </w:rPr>
              <w:t>0.70</w:t>
            </w:r>
          </w:p>
        </w:tc>
        <w:tc>
          <w:tcPr>
            <w:tcW w:type="dxa" w:w="2494"/>
          </w:tcPr>
          <w:p>
            <w:pPr>
              <w:spacing w:before="0" w:after="0" w:line="264" w:lineRule="auto"/>
            </w:pPr>
            <w:r>
              <w:rPr>
                <w:rFonts w:ascii="Arial" w:hAnsi="Arial" w:cs="Arial" w:eastAsia="Arial"/>
                <w:color w:val="0E1E3A"/>
                <w:sz w:val="17"/>
                <w:szCs w:val="17"/>
              </w:rPr>
              <w:t>0.51</w:t>
            </w:r>
          </w:p>
        </w:tc>
        <w:tc>
          <w:tcPr>
            <w:tcW w:type="dxa" w:w="2494"/>
          </w:tcPr>
          <w:p>
            <w:pPr>
              <w:spacing w:before="0" w:after="0" w:line="264" w:lineRule="auto"/>
            </w:pPr>
            <w:r>
              <w:rPr>
                <w:rFonts w:ascii="Arial" w:hAnsi="Arial" w:cs="Arial" w:eastAsia="Arial"/>
                <w:color w:val="0E1E3A"/>
                <w:sz w:val="17"/>
                <w:szCs w:val="17"/>
              </w:rPr>
              <w:t>0.51</w:t>
            </w:r>
          </w:p>
        </w:tc>
      </w:tr>
      <w:tr>
        <w:tc>
          <w:tcPr>
            <w:tcW w:type="dxa" w:w="2494"/>
          </w:tcPr>
          <w:p>
            <w:pPr>
              <w:spacing w:before="0" w:after="0" w:line="264" w:lineRule="auto"/>
            </w:pPr>
            <w:r>
              <w:rPr>
                <w:rFonts w:ascii="Arial" w:hAnsi="Arial" w:cs="Arial" w:eastAsia="Arial"/>
                <w:color w:val="0E1E3A"/>
                <w:sz w:val="17"/>
                <w:szCs w:val="17"/>
              </w:rPr>
              <w:t>ALPHA5</w:t>
            </w:r>
          </w:p>
        </w:tc>
        <w:tc>
          <w:tcPr>
            <w:tcW w:type="dxa" w:w="2494"/>
          </w:tcPr>
          <w:p>
            <w:pPr>
              <w:spacing w:before="0" w:after="0" w:line="264" w:lineRule="auto"/>
            </w:pPr>
            <w:r>
              <w:rPr>
                <w:rFonts w:ascii="Arial" w:hAnsi="Arial" w:cs="Arial" w:eastAsia="Arial"/>
                <w:color w:val="0E1E3A"/>
                <w:sz w:val="17"/>
                <w:szCs w:val="17"/>
              </w:rPr>
              <w:t>-1.05</w:t>
            </w:r>
          </w:p>
        </w:tc>
        <w:tc>
          <w:tcPr>
            <w:tcW w:type="dxa" w:w="2494"/>
          </w:tcPr>
          <w:p>
            <w:pPr>
              <w:spacing w:before="0" w:after="0" w:line="264" w:lineRule="auto"/>
            </w:pPr>
            <w:r>
              <w:rPr>
                <w:rFonts w:ascii="Arial" w:hAnsi="Arial" w:cs="Arial" w:eastAsia="Arial"/>
                <w:color w:val="0E1E3A"/>
                <w:sz w:val="17"/>
                <w:szCs w:val="17"/>
              </w:rPr>
              <w:t>0.73</w:t>
            </w:r>
          </w:p>
        </w:tc>
        <w:tc>
          <w:tcPr>
            <w:tcW w:type="dxa" w:w="2494"/>
          </w:tcPr>
          <w:p>
            <w:pPr>
              <w:spacing w:before="0" w:after="0" w:line="264" w:lineRule="auto"/>
            </w:pPr>
            <w:r>
              <w:rPr>
                <w:rFonts w:ascii="Arial" w:hAnsi="Arial" w:cs="Arial" w:eastAsia="Arial"/>
                <w:color w:val="0E1E3A"/>
                <w:sz w:val="17"/>
                <w:szCs w:val="17"/>
              </w:rPr>
              <w:t>0.73</w:t>
            </w:r>
          </w:p>
        </w:tc>
      </w:tr>
      <w:tr>
        <w:tc>
          <w:tcPr>
            <w:tcW w:type="dxa" w:w="2494"/>
          </w:tcPr>
          <w:p>
            <w:pPr>
              <w:spacing w:before="0" w:after="0" w:line="264" w:lineRule="auto"/>
            </w:pPr>
            <w:r>
              <w:rPr>
                <w:rFonts w:ascii="Arial" w:hAnsi="Arial" w:cs="Arial" w:eastAsia="Arial"/>
                <w:color w:val="0E1E3A"/>
                <w:sz w:val="17"/>
                <w:szCs w:val="17"/>
              </w:rPr>
              <w:t>INFORMATION RATIO6</w:t>
            </w:r>
          </w:p>
        </w:tc>
        <w:tc>
          <w:tcPr>
            <w:tcW w:type="dxa" w:w="2494"/>
          </w:tcPr>
          <w:p>
            <w:pPr>
              <w:spacing w:before="0" w:after="0" w:line="264" w:lineRule="auto"/>
            </w:pPr>
            <w:r>
              <w:rPr>
                <w:rFonts w:ascii="Arial" w:hAnsi="Arial" w:cs="Arial" w:eastAsia="Arial"/>
                <w:color w:val="0E1E3A"/>
                <w:sz w:val="17"/>
                <w:szCs w:val="17"/>
              </w:rPr>
              <w:t>-0.15</w:t>
            </w:r>
          </w:p>
        </w:tc>
        <w:tc>
          <w:tcPr>
            <w:tcW w:type="dxa" w:w="2494"/>
          </w:tcPr>
          <w:p>
            <w:pPr>
              <w:spacing w:before="0" w:after="0" w:line="264" w:lineRule="auto"/>
            </w:pPr>
            <w:r>
              <w:rPr>
                <w:rFonts w:ascii="Arial" w:hAnsi="Arial" w:cs="Arial" w:eastAsia="Arial"/>
                <w:color w:val="0E1E3A"/>
                <w:sz w:val="17"/>
                <w:szCs w:val="17"/>
              </w:rPr>
              <w:t>0.05</w:t>
            </w:r>
          </w:p>
        </w:tc>
        <w:tc>
          <w:tcPr>
            <w:tcW w:type="dxa" w:w="2494"/>
          </w:tcPr>
          <w:p>
            <w:pPr>
              <w:spacing w:before="0" w:after="0" w:line="264" w:lineRule="auto"/>
            </w:pPr>
            <w:r>
              <w:rPr>
                <w:rFonts w:ascii="Arial" w:hAnsi="Arial" w:cs="Arial" w:eastAsia="Arial"/>
                <w:color w:val="0E1E3A"/>
                <w:sz w:val="17"/>
                <w:szCs w:val="17"/>
              </w:rPr>
              <w:t>0.05</w:t>
            </w:r>
          </w:p>
        </w:tc>
      </w:tr>
    </w:tbl>
    <w:p>
      <w:pPr>
        <w:spacing w:before="0" w:after="40" w:line="300" w:lineRule="auto"/>
      </w:pPr>
    </w:p>
    <w:p>
      <w:pPr>
        <w:spacing w:before="0" w:after="80" w:line="312" w:lineRule="auto"/>
      </w:pPr>
      <w:r>
        <w:rPr>
          <w:rFonts w:ascii="Arial" w:hAnsi="Arial" w:cs="Arial" w:eastAsia="Arial"/>
          <w:color w:val="5A6478"/>
          <w:sz w:val="17"/>
          <w:szCs w:val="17"/>
        </w:rPr>
        <w:t>* As at the Listing Date, 27 April 2022</w:t>
      </w:r>
      <w:r>
        <w:br/>
      </w: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equity markets were bearish with increased volatility in 2022, driven fundamentally by inflation, higher interest rates, supply chain disruptions, Europe’s geo-political concerns and China’s Zero-Covid Policy. Given these factors, profit growth and profitability expectations were downsized to the minimum, resulting in weak performance of the major global equity indices.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IMF expects the global economy to grow by 2.7%, with developed economies growing by 1.1% and emerging markets by 3.7% in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 positive momentum is expected with the emergence of signs of lower inflation and the end of the interest rate hikes cycle by central banks, which will prompt most investors to re-evaluate their equity investments and cash allocations in line with global market valuations which are trading at unprecedented levels. However, in the short term, fluctuations in global markets are expected to increase due to higher interest rates and tighter monetary policy.</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59"/>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0"/>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Q4 2022</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