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4"/>
            <wp:cNvGraphicFramePr/>
            <a:graphic>
              <a:graphicData uri="http://schemas.openxmlformats.org/drawingml/2006/picture">
                <pic:pic>
                  <pic:nvPicPr>
                    <pic:cNvPr id="9034" name="banner903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11.0746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797,943,413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1 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797,943,413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793,129,394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49,415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2,472,200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765,480,571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3"/>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للشركات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548541"/>
            <wp:docPr id="12" name="Picture 9045"/>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54854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695,422,101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102,521,312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شرائها من قبل الصندوق بغرض إلغائها، بعدد (24,371,111 وحدة) كما في 28 سبتمبر 2023م.</w:t>
      </w:r>
      <w:r>
        <w:br/>
      </w:r>
      <w:r>
        <w:rPr>
          <w:rFonts w:ascii="Arial" w:hAnsi="Arial" w:cs="Arial" w:eastAsia="Arial"/>
          <w:color w:val="5A6478"/>
          <w:sz w:val="17"/>
          <w:szCs w:val="17"/>
          <w:rtl/>
        </w:rPr>
        <w:t>**غير متضمنة الوحدات المعاد شرائها من قبل الصندوق بغرض إلغائها، بعدد (28,383,198 وحدة) كما في 31 ديسمبر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91892"/>
            <wp:docPr id="16" name="Picture 9049"/>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2023م)</w:t>
            </w:r>
          </w:p>
        </w:tc>
        <w:tc>
          <w:tcPr>
            <w:tcW w:type="dxa" w:w="6860"/>
          </w:tcPr>
          <w:p>
            <w:pPr>
              <w:bidi w:val="1"/>
              <w:spacing w:before="0" w:after="0" w:line="276" w:lineRule="auto"/>
            </w:pPr>
            <w:r>
              <w:rPr>
                <w:rFonts w:ascii="Arial" w:hAnsi="Arial" w:cs="Arial" w:eastAsia="Arial"/>
                <w:b/>
                <w:bCs/>
                <w:color w:val="0E1E3A"/>
                <w:sz w:val="18"/>
                <w:szCs w:val="18"/>
                <w:rtl/>
              </w:rPr>
              <w:t>8.85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30 سبتمبر 2023م إلى 31 ديسمبر 2023م)</w:t>
            </w:r>
          </w:p>
        </w:tc>
        <w:tc>
          <w:tcPr>
            <w:tcW w:type="dxa" w:w="6860"/>
          </w:tcPr>
          <w:p>
            <w:pPr>
              <w:bidi w:val="1"/>
              <w:spacing w:before="0" w:after="0" w:line="276" w:lineRule="auto"/>
            </w:pPr>
            <w:r>
              <w:rPr>
                <w:rFonts w:ascii="Arial" w:hAnsi="Arial" w:cs="Arial" w:eastAsia="Arial"/>
                <w:b/>
                <w:bCs/>
                <w:color w:val="0E1E3A"/>
                <w:sz w:val="18"/>
                <w:szCs w:val="18"/>
              </w:rPr>
              <w:t>‎2.31%‎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2023م)</w:t>
            </w:r>
          </w:p>
        </w:tc>
        <w:tc>
          <w:tcPr>
            <w:tcW w:type="dxa" w:w="6860"/>
          </w:tcPr>
          <w:p>
            <w:pPr>
              <w:bidi w:val="1"/>
              <w:spacing w:before="0" w:after="0" w:line="276" w:lineRule="auto"/>
            </w:pPr>
            <w:r>
              <w:rPr>
                <w:rFonts w:ascii="Arial" w:hAnsi="Arial" w:cs="Arial" w:eastAsia="Arial"/>
                <w:b/>
                <w:bCs/>
                <w:color w:val="0E1E3A"/>
                <w:sz w:val="18"/>
                <w:szCs w:val="18"/>
              </w:rPr>
              <w:t>‎-11.50%‎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الرابع 2023م)</w:t>
            </w:r>
          </w:p>
        </w:tc>
        <w:tc>
          <w:tcPr>
            <w:tcW w:type="dxa" w:w="6860"/>
          </w:tcPr>
          <w:p>
            <w:pPr>
              <w:bidi w:val="1"/>
              <w:spacing w:before="0" w:after="0" w:line="276" w:lineRule="auto"/>
            </w:pPr>
            <w:r>
              <w:rPr>
                <w:rFonts w:ascii="Arial" w:hAnsi="Arial" w:cs="Arial" w:eastAsia="Arial"/>
                <w:b/>
                <w:bCs/>
                <w:color w:val="0E1E3A"/>
                <w:sz w:val="18"/>
                <w:szCs w:val="18"/>
              </w:rPr>
              <w:t>‎-2.34%‎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5.68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31 ديسمبر 2023م)*</w:t>
            </w:r>
          </w:p>
        </w:tc>
        <w:tc>
          <w:tcPr>
            <w:tcW w:type="dxa" w:w="6860"/>
          </w:tcPr>
          <w:p>
            <w:pPr>
              <w:bidi w:val="1"/>
              <w:spacing w:before="0" w:after="0" w:line="276" w:lineRule="auto"/>
            </w:pPr>
            <w:r>
              <w:rPr>
                <w:rFonts w:ascii="Arial" w:hAnsi="Arial" w:cs="Arial" w:eastAsia="Arial"/>
                <w:b/>
                <w:bCs/>
                <w:color w:val="0E1E3A"/>
                <w:sz w:val="18"/>
                <w:szCs w:val="18"/>
                <w:rtl/>
              </w:rPr>
              <w:t>71,616,802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*بعد خصم الوحدات المعاد شرائها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النصف 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حيث يقوم الصندوق بتوزيع الأرباح الرأسمالية (إن وجدت) المحققة وغير المحققة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79,225,591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 *</w:t>
            </w:r>
          </w:p>
        </w:tc>
        <w:tc>
          <w:tcPr>
            <w:tcW w:type="dxa" w:w="6860"/>
          </w:tcPr>
          <w:p>
            <w:pPr>
              <w:bidi w:val="1"/>
              <w:spacing w:before="0" w:after="0" w:line="276" w:lineRule="auto"/>
            </w:pPr>
            <w:r>
              <w:rPr>
                <w:rFonts w:ascii="Arial" w:hAnsi="Arial" w:cs="Arial" w:eastAsia="Arial"/>
                <w:b/>
                <w:bCs/>
                <w:color w:val="0E1E3A"/>
                <w:sz w:val="18"/>
                <w:szCs w:val="18"/>
                <w:rtl/>
              </w:rPr>
              <w:t>0.93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الأولى</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2,105,518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7,337,495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47,706,179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(1,379,411)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55,769,781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31 ديسمبر 2023م</w:t>
            </w:r>
          </w:p>
        </w:tc>
        <w:tc>
          <w:tcPr>
            <w:tcW w:type="dxa" w:w="6860"/>
          </w:tcPr>
          <w:p>
            <w:pPr>
              <w:bidi w:val="1"/>
              <w:spacing w:before="0" w:after="0" w:line="276" w:lineRule="auto"/>
            </w:pPr>
            <w:r>
              <w:rPr>
                <w:rFonts w:ascii="Arial" w:hAnsi="Arial" w:cs="Arial" w:eastAsia="Arial"/>
                <w:b/>
                <w:bCs/>
                <w:color w:val="0E1E3A"/>
                <w:sz w:val="18"/>
                <w:szCs w:val="18"/>
              </w:rPr>
              <w:t>‎7.03%‎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*عدد الوحدات بتاريخ استحقاق التوزيع كان 85,188,808 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‎20.87%‎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w:t>
            </w:r>
          </w:p>
        </w:tc>
        <w:tc>
          <w:tcPr>
            <w:tcW w:type="dxa" w:w="6860"/>
          </w:tcPr>
          <w:p>
            <w:pPr>
              <w:bidi w:val="1"/>
              <w:spacing w:before="0" w:after="0" w:line="276" w:lineRule="auto"/>
            </w:pPr>
            <w:r>
              <w:rPr>
                <w:rFonts w:ascii="Arial" w:hAnsi="Arial" w:cs="Arial" w:eastAsia="Arial"/>
                <w:b/>
                <w:bCs/>
                <w:color w:val="0E1E3A"/>
                <w:sz w:val="18"/>
                <w:szCs w:val="18"/>
                <w:rtl/>
              </w:rPr>
              <w:t>21.0x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10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10.2411 ر.س.</w:t>
            </w:r>
          </w:p>
        </w:tc>
        <w:tc>
          <w:tcPr>
            <w:tcW w:type="dxa" w:w="3326"/>
          </w:tcPr>
          <w:p>
            <w:pPr>
              <w:bidi w:val="1"/>
              <w:spacing w:before="0" w:after="0" w:line="264" w:lineRule="auto"/>
            </w:pPr>
            <w:r>
              <w:rPr>
                <w:rFonts w:ascii="Arial" w:hAnsi="Arial" w:cs="Arial" w:eastAsia="Arial"/>
                <w:color w:val="0E1E3A"/>
                <w:sz w:val="17"/>
                <w:szCs w:val="17"/>
                <w:rtl/>
              </w:rPr>
              <w:t>99.3959</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11.0746 ر.س.</w:t>
            </w:r>
          </w:p>
        </w:tc>
        <w:tc>
          <w:tcPr>
            <w:tcW w:type="dxa" w:w="3326"/>
          </w:tcPr>
          <w:p>
            <w:pPr>
              <w:bidi w:val="1"/>
              <w:spacing w:before="0" w:after="0" w:line="264" w:lineRule="auto"/>
            </w:pPr>
            <w:r>
              <w:rPr>
                <w:rFonts w:ascii="Arial" w:hAnsi="Arial" w:cs="Arial" w:eastAsia="Arial"/>
                <w:color w:val="0E1E3A"/>
                <w:sz w:val="17"/>
                <w:szCs w:val="17"/>
                <w:rtl/>
              </w:rPr>
              <w:t>107.0119</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‎8.14%‎</w:t>
            </w:r>
          </w:p>
        </w:tc>
        <w:tc>
          <w:tcPr>
            <w:tcW w:type="dxa" w:w="3326"/>
          </w:tcPr>
          <w:p>
            <w:pPr>
              <w:bidi w:val="1"/>
              <w:spacing w:before="0" w:after="0" w:line="264" w:lineRule="auto"/>
            </w:pPr>
            <w:r>
              <w:rPr>
                <w:rFonts w:ascii="Arial" w:hAnsi="Arial" w:cs="Arial" w:eastAsia="Arial"/>
                <w:color w:val="0E1E3A"/>
                <w:sz w:val="17"/>
                <w:szCs w:val="17"/>
              </w:rPr>
              <w:t>‎7.66%‎</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‎8.14%‎</w:t>
            </w:r>
          </w:p>
        </w:tc>
        <w:tc>
          <w:tcPr>
            <w:tcW w:type="dxa" w:w="1663"/>
          </w:tcPr>
          <w:p>
            <w:pPr>
              <w:bidi w:val="1"/>
              <w:spacing w:before="0" w:after="0" w:line="264" w:lineRule="auto"/>
            </w:pPr>
            <w:r>
              <w:rPr>
                <w:rFonts w:ascii="Arial" w:hAnsi="Arial" w:cs="Arial" w:eastAsia="Arial"/>
                <w:color w:val="0E1E3A"/>
                <w:sz w:val="17"/>
                <w:szCs w:val="17"/>
              </w:rPr>
              <w:t>‎28.03%‎</w:t>
            </w:r>
          </w:p>
        </w:tc>
        <w:tc>
          <w:tcPr>
            <w:tcW w:type="dxa" w:w="1663"/>
          </w:tcPr>
          <w:p>
            <w:pPr>
              <w:bidi w:val="1"/>
              <w:spacing w:before="0" w:after="0" w:line="264" w:lineRule="auto"/>
            </w:pPr>
            <w:r>
              <w:rPr>
                <w:rFonts w:ascii="Arial" w:hAnsi="Arial" w:cs="Arial" w:eastAsia="Arial"/>
                <w:color w:val="0E1E3A"/>
                <w:sz w:val="17"/>
                <w:szCs w:val="17"/>
              </w:rPr>
              <w:t>‎28.03%‎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‎7.66%‎</w:t>
            </w:r>
          </w:p>
        </w:tc>
        <w:tc>
          <w:tcPr>
            <w:tcW w:type="dxa" w:w="1663"/>
          </w:tcPr>
          <w:p>
            <w:pPr>
              <w:bidi w:val="1"/>
              <w:spacing w:before="0" w:after="0" w:line="264" w:lineRule="auto"/>
            </w:pPr>
            <w:r>
              <w:rPr>
                <w:rFonts w:ascii="Arial" w:hAnsi="Arial" w:cs="Arial" w:eastAsia="Arial"/>
                <w:color w:val="0E1E3A"/>
                <w:sz w:val="17"/>
                <w:szCs w:val="17"/>
              </w:rPr>
              <w:t>‎20.56%‎</w:t>
            </w:r>
          </w:p>
        </w:tc>
        <w:tc>
          <w:tcPr>
            <w:tcW w:type="dxa" w:w="1663"/>
          </w:tcPr>
          <w:p>
            <w:pPr>
              <w:bidi w:val="1"/>
              <w:spacing w:before="0" w:after="0" w:line="264" w:lineRule="auto"/>
            </w:pPr>
            <w:r>
              <w:rPr>
                <w:rFonts w:ascii="Arial" w:hAnsi="Arial" w:cs="Arial" w:eastAsia="Arial"/>
                <w:color w:val="0E1E3A"/>
                <w:sz w:val="17"/>
                <w:szCs w:val="17"/>
              </w:rPr>
              <w:t>‎20.56%‎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‎0.48%‎</w:t>
            </w:r>
          </w:p>
        </w:tc>
        <w:tc>
          <w:tcPr>
            <w:tcW w:type="dxa" w:w="1663"/>
          </w:tcPr>
          <w:p>
            <w:pPr>
              <w:bidi w:val="1"/>
              <w:spacing w:before="0" w:after="0" w:line="264" w:lineRule="auto"/>
            </w:pPr>
            <w:r>
              <w:rPr>
                <w:rFonts w:ascii="Arial" w:hAnsi="Arial" w:cs="Arial" w:eastAsia="Arial"/>
                <w:color w:val="0E1E3A"/>
                <w:sz w:val="17"/>
                <w:szCs w:val="17"/>
              </w:rPr>
              <w:t>‎7.47%‎</w:t>
            </w:r>
          </w:p>
        </w:tc>
        <w:tc>
          <w:tcPr>
            <w:tcW w:type="dxa" w:w="1663"/>
          </w:tcPr>
          <w:p>
            <w:pPr>
              <w:bidi w:val="1"/>
              <w:spacing w:before="0" w:after="0" w:line="264" w:lineRule="auto"/>
            </w:pPr>
            <w:r>
              <w:rPr>
                <w:rFonts w:ascii="Arial" w:hAnsi="Arial" w:cs="Arial" w:eastAsia="Arial"/>
                <w:color w:val="0E1E3A"/>
                <w:sz w:val="17"/>
                <w:szCs w:val="17"/>
              </w:rPr>
              <w:t>‎7.47%‎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سعر الوحدة بالإضافة إلى الأرباح الموزعة (إن وجدت).</w:t>
      </w:r>
      <w:r>
        <w:br/>
      </w:r>
      <w:r>
        <w:rPr>
          <w:rFonts w:ascii="Arial" w:hAnsi="Arial" w:cs="Arial" w:eastAsia="Arial"/>
          <w:color w:val="5A6478"/>
          <w:sz w:val="17"/>
          <w:szCs w:val="17"/>
          <w:rtl/>
        </w:rPr>
        <w:t>** عن الفترة من 31 ديسمبر 2022م إلى 31 ديسمبر 2023م متضمنة التوزيعات النقدية بقيمة 0.93 ر.س.</w:t>
      </w:r>
      <w:r>
        <w:br/>
      </w:r>
      <w:r>
        <w:rPr>
          <w:rFonts w:ascii="Arial" w:hAnsi="Arial" w:cs="Arial" w:eastAsia="Arial"/>
          <w:color w:val="5A6478"/>
          <w:sz w:val="17"/>
          <w:szCs w:val="17"/>
          <w:rtl/>
        </w:rPr>
        <w:t>*** عن الفترة من 31 ديسمبر 2022م إلى 31 ديسمبر 2023م متضمنة توزيعات نقدية بقيمة 0.93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4.79</w:t>
            </w:r>
          </w:p>
        </w:tc>
        <w:tc>
          <w:tcPr>
            <w:tcW w:type="dxa" w:w="1663"/>
          </w:tcPr>
          <w:p>
            <w:pPr>
              <w:bidi w:val="1"/>
              <w:spacing w:before="0" w:after="0" w:line="264" w:lineRule="auto"/>
            </w:pPr>
            <w:r>
              <w:rPr>
                <w:rFonts w:ascii="Arial" w:hAnsi="Arial" w:cs="Arial" w:eastAsia="Arial"/>
                <w:color w:val="0E1E3A"/>
                <w:sz w:val="17"/>
                <w:szCs w:val="17"/>
                <w:rtl/>
              </w:rPr>
              <w:t>14.14</w:t>
            </w:r>
          </w:p>
        </w:tc>
        <w:tc>
          <w:tcPr>
            <w:tcW w:type="dxa" w:w="1663"/>
          </w:tcPr>
          <w:p>
            <w:pPr>
              <w:bidi w:val="1"/>
              <w:spacing w:before="0" w:after="0" w:line="264" w:lineRule="auto"/>
            </w:pPr>
            <w:r>
              <w:rPr>
                <w:rFonts w:ascii="Arial" w:hAnsi="Arial" w:cs="Arial" w:eastAsia="Arial"/>
                <w:color w:val="0E1E3A"/>
                <w:sz w:val="17"/>
                <w:szCs w:val="17"/>
                <w:rtl/>
              </w:rPr>
              <w:t>14.14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0.39</w:t>
            </w:r>
          </w:p>
        </w:tc>
        <w:tc>
          <w:tcPr>
            <w:tcW w:type="dxa" w:w="1663"/>
          </w:tcPr>
          <w:p>
            <w:pPr>
              <w:bidi w:val="1"/>
              <w:spacing w:before="0" w:after="0" w:line="264" w:lineRule="auto"/>
            </w:pPr>
            <w:r>
              <w:rPr>
                <w:rFonts w:ascii="Arial" w:hAnsi="Arial" w:cs="Arial" w:eastAsia="Arial"/>
                <w:color w:val="0E1E3A"/>
                <w:sz w:val="17"/>
                <w:szCs w:val="17"/>
                <w:rtl/>
              </w:rPr>
              <w:t>2.49</w:t>
            </w:r>
          </w:p>
        </w:tc>
        <w:tc>
          <w:tcPr>
            <w:tcW w:type="dxa" w:w="1663"/>
          </w:tcPr>
          <w:p>
            <w:pPr>
              <w:bidi w:val="1"/>
              <w:spacing w:before="0" w:after="0" w:line="264" w:lineRule="auto"/>
            </w:pPr>
            <w:r>
              <w:rPr>
                <w:rFonts w:ascii="Arial" w:hAnsi="Arial" w:cs="Arial" w:eastAsia="Arial"/>
                <w:color w:val="0E1E3A"/>
                <w:sz w:val="17"/>
                <w:szCs w:val="17"/>
                <w:rtl/>
              </w:rPr>
              <w:t>2.49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1.78</w:t>
            </w:r>
          </w:p>
        </w:tc>
        <w:tc>
          <w:tcPr>
            <w:tcW w:type="dxa" w:w="1663"/>
          </w:tcPr>
          <w:p>
            <w:pPr>
              <w:bidi w:val="1"/>
              <w:spacing w:before="0" w:after="0" w:line="264" w:lineRule="auto"/>
            </w:pPr>
            <w:r>
              <w:rPr>
                <w:rFonts w:ascii="Arial" w:hAnsi="Arial" w:cs="Arial" w:eastAsia="Arial"/>
                <w:color w:val="0E1E3A"/>
                <w:sz w:val="17"/>
                <w:szCs w:val="17"/>
                <w:rtl/>
              </w:rPr>
              <w:t>11.46</w:t>
            </w:r>
          </w:p>
        </w:tc>
        <w:tc>
          <w:tcPr>
            <w:tcW w:type="dxa" w:w="1663"/>
          </w:tcPr>
          <w:p>
            <w:pPr>
              <w:bidi w:val="1"/>
              <w:spacing w:before="0" w:after="0" w:line="264" w:lineRule="auto"/>
            </w:pPr>
            <w:r>
              <w:rPr>
                <w:rFonts w:ascii="Arial" w:hAnsi="Arial" w:cs="Arial" w:eastAsia="Arial"/>
                <w:color w:val="0E1E3A"/>
                <w:sz w:val="17"/>
                <w:szCs w:val="17"/>
                <w:rtl/>
              </w:rPr>
              <w:t>11.46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0.85</w:t>
            </w:r>
          </w:p>
        </w:tc>
        <w:tc>
          <w:tcPr>
            <w:tcW w:type="dxa" w:w="1663"/>
          </w:tcPr>
          <w:p>
            <w:pPr>
              <w:bidi w:val="1"/>
              <w:spacing w:before="0" w:after="0" w:line="264" w:lineRule="auto"/>
            </w:pPr>
            <w:r>
              <w:rPr>
                <w:rFonts w:ascii="Arial" w:hAnsi="Arial" w:cs="Arial" w:eastAsia="Arial"/>
                <w:color w:val="0E1E3A"/>
                <w:sz w:val="17"/>
                <w:szCs w:val="17"/>
                <w:rtl/>
              </w:rPr>
              <w:t>0.76</w:t>
            </w:r>
          </w:p>
        </w:tc>
        <w:tc>
          <w:tcPr>
            <w:tcW w:type="dxa" w:w="1663"/>
          </w:tcPr>
          <w:p>
            <w:pPr>
              <w:bidi w:val="1"/>
              <w:spacing w:before="0" w:after="0" w:line="264" w:lineRule="auto"/>
            </w:pPr>
            <w:r>
              <w:rPr>
                <w:rFonts w:ascii="Arial" w:hAnsi="Arial" w:cs="Arial" w:eastAsia="Arial"/>
                <w:color w:val="0E1E3A"/>
                <w:sz w:val="17"/>
                <w:szCs w:val="17"/>
                <w:rtl/>
              </w:rPr>
              <w:t>0.76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tl/>
              </w:rPr>
              <w:t>0.32</w:t>
            </w:r>
          </w:p>
        </w:tc>
        <w:tc>
          <w:tcPr>
            <w:tcW w:type="dxa" w:w="1663"/>
          </w:tcPr>
          <w:p>
            <w:pPr>
              <w:bidi w:val="1"/>
              <w:spacing w:before="0" w:after="0" w:line="264" w:lineRule="auto"/>
            </w:pPr>
            <w:r>
              <w:rPr>
                <w:rFonts w:ascii="Arial" w:hAnsi="Arial" w:cs="Arial" w:eastAsia="Arial"/>
                <w:color w:val="0E1E3A"/>
                <w:sz w:val="17"/>
                <w:szCs w:val="17"/>
                <w:rtl/>
              </w:rPr>
              <w:t>16.28</w:t>
            </w:r>
          </w:p>
        </w:tc>
        <w:tc>
          <w:tcPr>
            <w:tcW w:type="dxa" w:w="1663"/>
          </w:tcPr>
          <w:p>
            <w:pPr>
              <w:bidi w:val="1"/>
              <w:spacing w:before="0" w:after="0" w:line="264" w:lineRule="auto"/>
            </w:pPr>
            <w:r>
              <w:rPr>
                <w:rFonts w:ascii="Arial" w:hAnsi="Arial" w:cs="Arial" w:eastAsia="Arial"/>
                <w:color w:val="0E1E3A"/>
                <w:sz w:val="17"/>
                <w:szCs w:val="17"/>
                <w:rtl/>
              </w:rPr>
              <w:t>16.28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0.18</w:t>
            </w:r>
          </w:p>
        </w:tc>
        <w:tc>
          <w:tcPr>
            <w:tcW w:type="dxa" w:w="1663"/>
          </w:tcPr>
          <w:p>
            <w:pPr>
              <w:bidi w:val="1"/>
              <w:spacing w:before="0" w:after="0" w:line="264" w:lineRule="auto"/>
            </w:pPr>
            <w:r>
              <w:rPr>
                <w:rFonts w:ascii="Arial" w:hAnsi="Arial" w:cs="Arial" w:eastAsia="Arial"/>
                <w:color w:val="0E1E3A"/>
                <w:sz w:val="17"/>
                <w:szCs w:val="17"/>
                <w:rtl/>
              </w:rPr>
              <w:t>1.42</w:t>
            </w:r>
          </w:p>
        </w:tc>
        <w:tc>
          <w:tcPr>
            <w:tcW w:type="dxa" w:w="1663"/>
          </w:tcPr>
          <w:p>
            <w:pPr>
              <w:bidi w:val="1"/>
              <w:spacing w:before="0" w:after="0" w:line="264" w:lineRule="auto"/>
            </w:pPr>
            <w:r>
              <w:rPr>
                <w:rFonts w:ascii="Arial" w:hAnsi="Arial" w:cs="Arial" w:eastAsia="Arial"/>
                <w:color w:val="0E1E3A"/>
                <w:sz w:val="17"/>
                <w:szCs w:val="17"/>
                <w:rtl/>
              </w:rPr>
              <w:t>1.42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8"/>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وافق مالكو الوحدات خلال اجتماع الجمعية العمومية المنعقد في 19 يوليو 2023م على توصية مدير الصندوق بإعادة شراء ما يصل إلى </w:t>
      </w:r>
      <w:r>
        <w:rPr>
          <w:rFonts w:ascii="Arial" w:hAnsi="Arial" w:cs="Arial" w:eastAsia="Arial"/>
          <w:color w:val="0E1E3A"/>
          <w:sz w:val="20"/>
          <w:szCs w:val="20"/>
        </w:rPr>
        <w:t>‎50%‎</w:t>
      </w:r>
      <w:r>
        <w:rPr>
          <w:rFonts w:ascii="Arial" w:hAnsi="Arial" w:cs="Arial" w:eastAsia="Arial"/>
          <w:color w:val="0E1E3A"/>
          <w:sz w:val="20"/>
          <w:szCs w:val="20"/>
          <w:rtl/>
        </w:rPr>
        <w:t xml:space="preserve"> من مجموع الوحدات المتداولة بغرض إلغائها.</w:t>
      </w:r>
    </w:p>
    <w:p>
      <w:pPr>
        <w:bidi w:val="1"/>
        <w:spacing w:before="0" w:after="80" w:line="312" w:lineRule="auto"/>
      </w:pPr>
      <w:r>
        <w:rPr>
          <w:rFonts w:ascii="Arial" w:hAnsi="Arial" w:cs="Arial" w:eastAsia="Arial"/>
          <w:color w:val="0E1E3A"/>
          <w:sz w:val="20"/>
          <w:szCs w:val="20"/>
          <w:rtl/>
        </w:rPr>
        <w:t xml:space="preserve">كما في 28 ديسمبر 2023م، استطاع مدير الصندوق إعادة شراء ما مجموعه 28,383,198 وحدة، أو ما يعادل </w:t>
      </w:r>
      <w:r>
        <w:rPr>
          <w:rFonts w:ascii="Arial" w:hAnsi="Arial" w:cs="Arial" w:eastAsia="Arial"/>
          <w:color w:val="0E1E3A"/>
          <w:sz w:val="20"/>
          <w:szCs w:val="20"/>
        </w:rPr>
        <w:t>‎28.38%‎</w:t>
      </w:r>
      <w:r>
        <w:rPr>
          <w:rFonts w:ascii="Arial" w:hAnsi="Arial" w:cs="Arial" w:eastAsia="Arial"/>
          <w:color w:val="0E1E3A"/>
          <w:sz w:val="20"/>
          <w:szCs w:val="20"/>
          <w:rtl/>
        </w:rPr>
        <w:t xml:space="preserve"> من مجموع عدد وحدات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 xml:space="preserve">في الربع الرابع من عام 2023م، كانت أسواق الأسهم العالمية متقلبة مدفوعة بمخاوف التباطؤ الاقتصادي مما أدت إلى ضغوط هبوطية على الأسواق في شهري أكتوبر ونوفمبر. ومع ذلك، تال ذلك ارتفاع في شهر ديسمبر، مدفوعًا بتقارير أرباح الشركات الإيجابية وقرار بنك الاحتياطي الفيدرالي الأمريكي بإيقاف رفع أسعار الفائدة مؤقتًا، مما خفف من مخاوف الركود. وقد أدى ذلك إلى مكاسب متواضعة للمؤشرات الرئيسية بشكل عام. وارتفع مؤشر الخبير للأسهم العالمية بنسبة </w:t>
      </w:r>
      <w:r>
        <w:rPr>
          <w:rFonts w:ascii="Arial" w:hAnsi="Arial" w:cs="Arial" w:eastAsia="Arial"/>
          <w:color w:val="0E1E3A"/>
          <w:sz w:val="20"/>
          <w:szCs w:val="20"/>
        </w:rPr>
        <w:t>‎7.7%‎</w:t>
      </w:r>
      <w:r>
        <w:rPr>
          <w:rFonts w:ascii="Arial" w:hAnsi="Arial" w:cs="Arial" w:eastAsia="Arial"/>
          <w:color w:val="0E1E3A"/>
          <w:sz w:val="20"/>
          <w:szCs w:val="20"/>
          <w:rtl/>
        </w:rPr>
        <w:t xml:space="preserve"> في الربع الرابع من عام 2023م، و </w:t>
      </w:r>
      <w:r>
        <w:rPr>
          <w:rFonts w:ascii="Arial" w:hAnsi="Arial" w:cs="Arial" w:eastAsia="Arial"/>
          <w:color w:val="0E1E3A"/>
          <w:sz w:val="20"/>
          <w:szCs w:val="20"/>
        </w:rPr>
        <w:t>‎20.6%‎</w:t>
      </w:r>
      <w:r>
        <w:rPr>
          <w:rFonts w:ascii="Arial" w:hAnsi="Arial" w:cs="Arial" w:eastAsia="Arial"/>
          <w:color w:val="0E1E3A"/>
          <w:sz w:val="20"/>
          <w:szCs w:val="20"/>
          <w:rtl/>
        </w:rPr>
        <w:t xml:space="preserve"> للعام 2023م بأكمله.</w:t>
      </w:r>
    </w:p>
    <w:p>
      <w:pPr>
        <w:bidi w:val="1"/>
        <w:spacing w:before="0" w:after="80" w:line="312" w:lineRule="auto"/>
      </w:pPr>
      <w:r>
        <w:rPr>
          <w:rFonts w:ascii="Arial" w:hAnsi="Arial" w:cs="Arial" w:eastAsia="Arial"/>
          <w:color w:val="0E1E3A"/>
          <w:sz w:val="20"/>
          <w:szCs w:val="20"/>
          <w:rtl/>
        </w:rPr>
        <w:t>يتوقع صندوق النقد الدولي نموًا إيجابيًا للناتج المحلي الإجمالي عالميًا (</w:t>
      </w:r>
      <w:r>
        <w:rPr>
          <w:rFonts w:ascii="Arial" w:hAnsi="Arial" w:cs="Arial" w:eastAsia="Arial"/>
          <w:color w:val="0E1E3A"/>
          <w:sz w:val="20"/>
          <w:szCs w:val="20"/>
        </w:rPr>
        <w:t>‎2.9%‎</w:t>
      </w:r>
      <w:r>
        <w:rPr>
          <w:rFonts w:ascii="Arial" w:hAnsi="Arial" w:cs="Arial" w:eastAsia="Arial"/>
          <w:color w:val="0E1E3A"/>
          <w:sz w:val="20"/>
          <w:szCs w:val="20"/>
          <w:rtl/>
        </w:rPr>
        <w:t>)، والأسواق المتقدمة (</w:t>
      </w:r>
      <w:r>
        <w:rPr>
          <w:rFonts w:ascii="Arial" w:hAnsi="Arial" w:cs="Arial" w:eastAsia="Arial"/>
          <w:color w:val="0E1E3A"/>
          <w:sz w:val="20"/>
          <w:szCs w:val="20"/>
        </w:rPr>
        <w:t>‎1.4%‎</w:t>
      </w:r>
      <w:r>
        <w:rPr>
          <w:rFonts w:ascii="Arial" w:hAnsi="Arial" w:cs="Arial" w:eastAsia="Arial"/>
          <w:color w:val="0E1E3A"/>
          <w:sz w:val="20"/>
          <w:szCs w:val="20"/>
          <w:rtl/>
        </w:rPr>
        <w:t>)، والأسواق الناشئة (</w:t>
      </w:r>
      <w:r>
        <w:rPr>
          <w:rFonts w:ascii="Arial" w:hAnsi="Arial" w:cs="Arial" w:eastAsia="Arial"/>
          <w:color w:val="0E1E3A"/>
          <w:sz w:val="20"/>
          <w:szCs w:val="20"/>
        </w:rPr>
        <w:t>‎4.0%‎</w:t>
      </w:r>
      <w:r>
        <w:rPr>
          <w:rFonts w:ascii="Arial" w:hAnsi="Arial" w:cs="Arial" w:eastAsia="Arial"/>
          <w:color w:val="0E1E3A"/>
          <w:sz w:val="20"/>
          <w:szCs w:val="20"/>
          <w:rtl/>
        </w:rPr>
        <w:t>)، ولكن من المتوقع أن تكون الوتيرة أبطأ من المتوسطات التاريخية طويلة المدى. المحفز الرئيسي لعام 2024م هو التخفيف المتوقع لأسعار الفائدة والتضخم ونمو الناتج المحلي الإجمالي.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1"/>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3"/>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الرابع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