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4"/>
            <wp:cNvGraphicFramePr/>
            <a:graphic>
              <a:graphicData uri="http://schemas.openxmlformats.org/drawingml/2006/picture">
                <pic:pic>
                  <pic:nvPicPr>
                    <pic:cNvPr id="9034" name="banner903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11.0746</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797,943,413</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0.04%</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797,943,413</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793,129,394</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49,415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2,472,200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2023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765,480,571.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3"/>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3110919"/>
            <wp:docPr id="12" name="Picture 9045"/>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110919"/>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695,422,101</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102,521,312</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633,808,698</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6" name="Picture 9049"/>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2023)</w:t>
            </w:r>
          </w:p>
        </w:tc>
        <w:tc>
          <w:tcPr>
            <w:tcW w:type="dxa" w:w="6860"/>
          </w:tcPr>
          <w:p>
            <w:pPr>
              <w:spacing w:before="0" w:after="0" w:line="276" w:lineRule="auto"/>
            </w:pPr>
            <w:r>
              <w:rPr>
                <w:rFonts w:ascii="Arial" w:hAnsi="Arial" w:cs="Arial" w:eastAsia="Arial"/>
                <w:b/>
                <w:bCs/>
                <w:color w:val="0E1E3A"/>
                <w:sz w:val="18"/>
                <w:szCs w:val="18"/>
              </w:rPr>
              <w:t>SAR 8.85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(30 SEPTEMBER 2023 TO 31 DECEMBER 2023)</w:t>
            </w:r>
          </w:p>
        </w:tc>
        <w:tc>
          <w:tcPr>
            <w:tcW w:type="dxa" w:w="6860"/>
          </w:tcPr>
          <w:p>
            <w:pPr>
              <w:spacing w:before="0" w:after="0" w:line="276" w:lineRule="auto"/>
            </w:pPr>
            <w:r>
              <w:rPr>
                <w:rFonts w:ascii="Arial" w:hAnsi="Arial" w:cs="Arial" w:eastAsia="Arial"/>
                <w:b/>
                <w:bCs/>
                <w:color w:val="0E1E3A"/>
                <w:sz w:val="18"/>
                <w:szCs w:val="18"/>
              </w:rPr>
              <w:t>2.31%</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2023)</w:t>
            </w:r>
          </w:p>
        </w:tc>
        <w:tc>
          <w:tcPr>
            <w:tcW w:type="dxa" w:w="6860"/>
          </w:tcPr>
          <w:p>
            <w:pPr>
              <w:spacing w:before="0" w:after="0" w:line="276" w:lineRule="auto"/>
            </w:pPr>
            <w:r>
              <w:rPr>
                <w:rFonts w:ascii="Arial" w:hAnsi="Arial" w:cs="Arial" w:eastAsia="Arial"/>
                <w:b/>
                <w:bCs/>
                <w:color w:val="0E1E3A"/>
                <w:sz w:val="18"/>
                <w:szCs w:val="18"/>
              </w:rPr>
              <w:t>-11.50%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Q4 2023)</w:t>
            </w:r>
          </w:p>
        </w:tc>
        <w:tc>
          <w:tcPr>
            <w:tcW w:type="dxa" w:w="6860"/>
          </w:tcPr>
          <w:p>
            <w:pPr>
              <w:spacing w:before="0" w:after="0" w:line="276" w:lineRule="auto"/>
            </w:pPr>
            <w:r>
              <w:rPr>
                <w:rFonts w:ascii="Arial" w:hAnsi="Arial" w:cs="Arial" w:eastAsia="Arial"/>
                <w:b/>
                <w:bCs/>
                <w:color w:val="0E1E3A"/>
                <w:sz w:val="18"/>
                <w:szCs w:val="18"/>
              </w:rPr>
              <w:t>-2.34%</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9.97</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5.68</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31 DECEMBER 2023) *</w:t>
            </w:r>
          </w:p>
        </w:tc>
        <w:tc>
          <w:tcPr>
            <w:tcW w:type="dxa" w:w="6860"/>
          </w:tcPr>
          <w:p>
            <w:pPr>
              <w:spacing w:before="0" w:after="0" w:line="276" w:lineRule="auto"/>
            </w:pPr>
            <w:r>
              <w:rPr>
                <w:rFonts w:ascii="Arial" w:hAnsi="Arial" w:cs="Arial" w:eastAsia="Arial"/>
                <w:b/>
                <w:bCs/>
                <w:color w:val="0E1E3A"/>
                <w:sz w:val="18"/>
                <w:szCs w:val="18"/>
              </w:rPr>
              <w:t>71,616,802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79,225,591</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0.93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2,105,518</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7,337,495</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47,706,179</w:t>
            </w:r>
          </w:p>
        </w:tc>
      </w:tr>
      <w:tr>
        <w:tc>
          <w:tcPr>
            <w:tcW w:type="dxa" w:w="3118"/>
            <w:shd w:val="clear" w:color="auto" w:fill="F3F6FB"/>
          </w:tcPr>
          <w:p>
            <w:pPr>
              <w:spacing w:before="0" w:after="0" w:line="276" w:lineRule="auto"/>
            </w:pPr>
            <w:r>
              <w:rPr>
                <w:rFonts w:ascii="Arial" w:hAnsi="Arial" w:cs="Arial" w:eastAsia="Arial"/>
                <w:color w:val="5A6478"/>
                <w:sz w:val="18"/>
                <w:szCs w:val="18"/>
              </w:rPr>
              <w:t>LOSS FROM FOREIGN CURRENCY RATE DIFFERENCES</w:t>
            </w:r>
          </w:p>
        </w:tc>
        <w:tc>
          <w:tcPr>
            <w:tcW w:type="dxa" w:w="6860"/>
          </w:tcPr>
          <w:p>
            <w:pPr>
              <w:spacing w:before="0" w:after="0" w:line="276" w:lineRule="auto"/>
            </w:pPr>
            <w:r>
              <w:rPr>
                <w:rFonts w:ascii="Arial" w:hAnsi="Arial" w:cs="Arial" w:eastAsia="Arial"/>
                <w:b/>
                <w:bCs/>
                <w:color w:val="0E1E3A"/>
                <w:sz w:val="18"/>
                <w:szCs w:val="18"/>
              </w:rPr>
              <w:t>SAR (1,379,411)</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55,769,781</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31 DECEMBER 2023</w:t>
            </w:r>
          </w:p>
        </w:tc>
        <w:tc>
          <w:tcPr>
            <w:tcW w:type="dxa" w:w="6860"/>
          </w:tcPr>
          <w:p>
            <w:pPr>
              <w:spacing w:before="0" w:after="0" w:line="276" w:lineRule="auto"/>
            </w:pPr>
            <w:r>
              <w:rPr>
                <w:rFonts w:ascii="Arial" w:hAnsi="Arial" w:cs="Arial" w:eastAsia="Arial"/>
                <w:b/>
                <w:bCs/>
                <w:color w:val="0E1E3A"/>
                <w:sz w:val="18"/>
                <w:szCs w:val="18"/>
              </w:rPr>
              <w:t>7.03%</w:t>
            </w:r>
          </w:p>
        </w:tc>
      </w:tr>
    </w:tbl>
    <w:p>
      <w:pPr>
        <w:spacing w:before="0" w:after="40" w:line="300" w:lineRule="auto"/>
      </w:pPr>
    </w:p>
    <w:p>
      <w:pPr>
        <w:spacing w:before="0" w:after="80" w:line="312" w:lineRule="auto"/>
      </w:pPr>
      <w:r>
        <w:rPr>
          <w:rFonts w:ascii="Arial" w:hAnsi="Arial" w:cs="Arial" w:eastAsia="Arial"/>
          <w:color w:val="5A6478"/>
          <w:sz w:val="17"/>
          <w:szCs w:val="17"/>
        </w:rPr>
        <w:t>* Number of Units as at the dividend distribution date was 85,188,808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20.87%</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21.0x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10.2411</w:t>
            </w:r>
          </w:p>
        </w:tc>
        <w:tc>
          <w:tcPr>
            <w:tcW w:type="dxa" w:w="3326"/>
          </w:tcPr>
          <w:p>
            <w:pPr>
              <w:spacing w:before="0" w:after="0" w:line="264" w:lineRule="auto"/>
            </w:pPr>
            <w:r>
              <w:rPr>
                <w:rFonts w:ascii="Arial" w:hAnsi="Arial" w:cs="Arial" w:eastAsia="Arial"/>
                <w:color w:val="0E1E3A"/>
                <w:sz w:val="17"/>
                <w:szCs w:val="17"/>
              </w:rPr>
              <w:t>99.3959</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11.0746</w:t>
            </w:r>
          </w:p>
        </w:tc>
        <w:tc>
          <w:tcPr>
            <w:tcW w:type="dxa" w:w="3326"/>
          </w:tcPr>
          <w:p>
            <w:pPr>
              <w:spacing w:before="0" w:after="0" w:line="264" w:lineRule="auto"/>
            </w:pPr>
            <w:r>
              <w:rPr>
                <w:rFonts w:ascii="Arial" w:hAnsi="Arial" w:cs="Arial" w:eastAsia="Arial"/>
                <w:color w:val="0E1E3A"/>
                <w:sz w:val="17"/>
                <w:szCs w:val="17"/>
              </w:rPr>
              <w:t>107.0119</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8.14%</w:t>
            </w:r>
          </w:p>
        </w:tc>
        <w:tc>
          <w:tcPr>
            <w:tcW w:type="dxa" w:w="3326"/>
          </w:tcPr>
          <w:p>
            <w:pPr>
              <w:spacing w:before="0" w:after="0" w:line="264" w:lineRule="auto"/>
            </w:pPr>
            <w:r>
              <w:rPr>
                <w:rFonts w:ascii="Arial" w:hAnsi="Arial" w:cs="Arial" w:eastAsia="Arial"/>
                <w:color w:val="0E1E3A"/>
                <w:sz w:val="17"/>
                <w:szCs w:val="17"/>
              </w:rPr>
              <w:t>7.66%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8.14%</w:t>
            </w:r>
          </w:p>
        </w:tc>
        <w:tc>
          <w:tcPr>
            <w:tcW w:type="dxa" w:w="1663"/>
          </w:tcPr>
          <w:p>
            <w:pPr>
              <w:spacing w:before="0" w:after="0" w:line="264" w:lineRule="auto"/>
            </w:pPr>
            <w:r>
              <w:rPr>
                <w:rFonts w:ascii="Arial" w:hAnsi="Arial" w:cs="Arial" w:eastAsia="Arial"/>
                <w:color w:val="0E1E3A"/>
                <w:sz w:val="17"/>
                <w:szCs w:val="17"/>
              </w:rPr>
              <w:t>28.03%</w:t>
            </w:r>
          </w:p>
        </w:tc>
        <w:tc>
          <w:tcPr>
            <w:tcW w:type="dxa" w:w="1663"/>
          </w:tcPr>
          <w:p>
            <w:pPr>
              <w:spacing w:before="0" w:after="0" w:line="264" w:lineRule="auto"/>
            </w:pPr>
            <w:r>
              <w:rPr>
                <w:rFonts w:ascii="Arial" w:hAnsi="Arial" w:cs="Arial" w:eastAsia="Arial"/>
                <w:color w:val="0E1E3A"/>
                <w:sz w:val="17"/>
                <w:szCs w:val="17"/>
              </w:rPr>
              <w:t>28.03%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7.66%</w:t>
            </w:r>
          </w:p>
        </w:tc>
        <w:tc>
          <w:tcPr>
            <w:tcW w:type="dxa" w:w="1663"/>
          </w:tcPr>
          <w:p>
            <w:pPr>
              <w:spacing w:before="0" w:after="0" w:line="264" w:lineRule="auto"/>
            </w:pPr>
            <w:r>
              <w:rPr>
                <w:rFonts w:ascii="Arial" w:hAnsi="Arial" w:cs="Arial" w:eastAsia="Arial"/>
                <w:color w:val="0E1E3A"/>
                <w:sz w:val="17"/>
                <w:szCs w:val="17"/>
              </w:rPr>
              <w:t>20.56%</w:t>
            </w:r>
          </w:p>
        </w:tc>
        <w:tc>
          <w:tcPr>
            <w:tcW w:type="dxa" w:w="1663"/>
          </w:tcPr>
          <w:p>
            <w:pPr>
              <w:spacing w:before="0" w:after="0" w:line="264" w:lineRule="auto"/>
            </w:pPr>
            <w:r>
              <w:rPr>
                <w:rFonts w:ascii="Arial" w:hAnsi="Arial" w:cs="Arial" w:eastAsia="Arial"/>
                <w:color w:val="0E1E3A"/>
                <w:sz w:val="17"/>
                <w:szCs w:val="17"/>
              </w:rPr>
              <w:t>20.56%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0.48%</w:t>
            </w:r>
          </w:p>
        </w:tc>
        <w:tc>
          <w:tcPr>
            <w:tcW w:type="dxa" w:w="1663"/>
          </w:tcPr>
          <w:p>
            <w:pPr>
              <w:spacing w:before="0" w:after="0" w:line="264" w:lineRule="auto"/>
            </w:pPr>
            <w:r>
              <w:rPr>
                <w:rFonts w:ascii="Arial" w:hAnsi="Arial" w:cs="Arial" w:eastAsia="Arial"/>
                <w:color w:val="0E1E3A"/>
                <w:sz w:val="17"/>
                <w:szCs w:val="17"/>
              </w:rPr>
              <w:t>7.47%</w:t>
            </w:r>
          </w:p>
        </w:tc>
        <w:tc>
          <w:tcPr>
            <w:tcW w:type="dxa" w:w="1663"/>
          </w:tcPr>
          <w:p>
            <w:pPr>
              <w:spacing w:before="0" w:after="0" w:line="264" w:lineRule="auto"/>
            </w:pPr>
            <w:r>
              <w:rPr>
                <w:rFonts w:ascii="Arial" w:hAnsi="Arial" w:cs="Arial" w:eastAsia="Arial"/>
                <w:color w:val="0E1E3A"/>
                <w:sz w:val="17"/>
                <w:szCs w:val="17"/>
              </w:rPr>
              <w:t>7.47%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Unit Price Performance plus Dividends (if any).</w:t>
      </w:r>
      <w:r>
        <w:br/>
      </w:r>
      <w:r>
        <w:rPr>
          <w:rFonts w:ascii="Arial" w:hAnsi="Arial" w:cs="Arial" w:eastAsia="Arial"/>
          <w:color w:val="5A6478"/>
          <w:sz w:val="17"/>
          <w:szCs w:val="17"/>
        </w:rPr>
        <w:t>** For the period from 31 December 2022 to 31 December 2023, including cash distributions of SAR 0.93.</w:t>
      </w:r>
      <w:r>
        <w:br/>
      </w:r>
      <w:r>
        <w:rPr>
          <w:rFonts w:ascii="Arial" w:hAnsi="Arial" w:cs="Arial" w:eastAsia="Arial"/>
          <w:color w:val="5A6478"/>
          <w:sz w:val="17"/>
          <w:szCs w:val="17"/>
        </w:rPr>
        <w:t>*** For the period from 31 December 2022 to 31 December 2023, including cash distributions of SAR 0.93.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4.79</w:t>
            </w:r>
          </w:p>
        </w:tc>
        <w:tc>
          <w:tcPr>
            <w:tcW w:type="dxa" w:w="1663"/>
          </w:tcPr>
          <w:p>
            <w:pPr>
              <w:spacing w:before="0" w:after="0" w:line="264" w:lineRule="auto"/>
            </w:pPr>
            <w:r>
              <w:rPr>
                <w:rFonts w:ascii="Arial" w:hAnsi="Arial" w:cs="Arial" w:eastAsia="Arial"/>
                <w:color w:val="0E1E3A"/>
                <w:sz w:val="17"/>
                <w:szCs w:val="17"/>
              </w:rPr>
              <w:t>14.14</w:t>
            </w:r>
          </w:p>
        </w:tc>
        <w:tc>
          <w:tcPr>
            <w:tcW w:type="dxa" w:w="1663"/>
          </w:tcPr>
          <w:p>
            <w:pPr>
              <w:spacing w:before="0" w:after="0" w:line="264" w:lineRule="auto"/>
            </w:pPr>
            <w:r>
              <w:rPr>
                <w:rFonts w:ascii="Arial" w:hAnsi="Arial" w:cs="Arial" w:eastAsia="Arial"/>
                <w:color w:val="0E1E3A"/>
                <w:sz w:val="17"/>
                <w:szCs w:val="17"/>
              </w:rPr>
              <w:t>14.14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0.39</w:t>
            </w:r>
          </w:p>
        </w:tc>
        <w:tc>
          <w:tcPr>
            <w:tcW w:type="dxa" w:w="1663"/>
          </w:tcPr>
          <w:p>
            <w:pPr>
              <w:spacing w:before="0" w:after="0" w:line="264" w:lineRule="auto"/>
            </w:pPr>
            <w:r>
              <w:rPr>
                <w:rFonts w:ascii="Arial" w:hAnsi="Arial" w:cs="Arial" w:eastAsia="Arial"/>
                <w:color w:val="0E1E3A"/>
                <w:sz w:val="17"/>
                <w:szCs w:val="17"/>
              </w:rPr>
              <w:t>2.49</w:t>
            </w:r>
          </w:p>
        </w:tc>
        <w:tc>
          <w:tcPr>
            <w:tcW w:type="dxa" w:w="1663"/>
          </w:tcPr>
          <w:p>
            <w:pPr>
              <w:spacing w:before="0" w:after="0" w:line="264" w:lineRule="auto"/>
            </w:pPr>
            <w:r>
              <w:rPr>
                <w:rFonts w:ascii="Arial" w:hAnsi="Arial" w:cs="Arial" w:eastAsia="Arial"/>
                <w:color w:val="0E1E3A"/>
                <w:sz w:val="17"/>
                <w:szCs w:val="17"/>
              </w:rPr>
              <w:t>2.49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1.78</w:t>
            </w:r>
          </w:p>
        </w:tc>
        <w:tc>
          <w:tcPr>
            <w:tcW w:type="dxa" w:w="1663"/>
          </w:tcPr>
          <w:p>
            <w:pPr>
              <w:spacing w:before="0" w:after="0" w:line="264" w:lineRule="auto"/>
            </w:pPr>
            <w:r>
              <w:rPr>
                <w:rFonts w:ascii="Arial" w:hAnsi="Arial" w:cs="Arial" w:eastAsia="Arial"/>
                <w:color w:val="0E1E3A"/>
                <w:sz w:val="17"/>
                <w:szCs w:val="17"/>
              </w:rPr>
              <w:t>11.46</w:t>
            </w:r>
          </w:p>
        </w:tc>
        <w:tc>
          <w:tcPr>
            <w:tcW w:type="dxa" w:w="1663"/>
          </w:tcPr>
          <w:p>
            <w:pPr>
              <w:spacing w:before="0" w:after="0" w:line="264" w:lineRule="auto"/>
            </w:pPr>
            <w:r>
              <w:rPr>
                <w:rFonts w:ascii="Arial" w:hAnsi="Arial" w:cs="Arial" w:eastAsia="Arial"/>
                <w:color w:val="0E1E3A"/>
                <w:sz w:val="17"/>
                <w:szCs w:val="17"/>
              </w:rPr>
              <w:t>11.46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0.85</w:t>
            </w:r>
          </w:p>
        </w:tc>
        <w:tc>
          <w:tcPr>
            <w:tcW w:type="dxa" w:w="1663"/>
          </w:tcPr>
          <w:p>
            <w:pPr>
              <w:spacing w:before="0" w:after="0" w:line="264" w:lineRule="auto"/>
            </w:pPr>
            <w:r>
              <w:rPr>
                <w:rFonts w:ascii="Arial" w:hAnsi="Arial" w:cs="Arial" w:eastAsia="Arial"/>
                <w:color w:val="0E1E3A"/>
                <w:sz w:val="17"/>
                <w:szCs w:val="17"/>
              </w:rPr>
              <w:t>0.76</w:t>
            </w:r>
          </w:p>
        </w:tc>
        <w:tc>
          <w:tcPr>
            <w:tcW w:type="dxa" w:w="1663"/>
          </w:tcPr>
          <w:p>
            <w:pPr>
              <w:spacing w:before="0" w:after="0" w:line="264" w:lineRule="auto"/>
            </w:pPr>
            <w:r>
              <w:rPr>
                <w:rFonts w:ascii="Arial" w:hAnsi="Arial" w:cs="Arial" w:eastAsia="Arial"/>
                <w:color w:val="0E1E3A"/>
                <w:sz w:val="17"/>
                <w:szCs w:val="17"/>
              </w:rPr>
              <w:t>0.76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0.32</w:t>
            </w:r>
          </w:p>
        </w:tc>
        <w:tc>
          <w:tcPr>
            <w:tcW w:type="dxa" w:w="1663"/>
          </w:tcPr>
          <w:p>
            <w:pPr>
              <w:spacing w:before="0" w:after="0" w:line="264" w:lineRule="auto"/>
            </w:pPr>
            <w:r>
              <w:rPr>
                <w:rFonts w:ascii="Arial" w:hAnsi="Arial" w:cs="Arial" w:eastAsia="Arial"/>
                <w:color w:val="0E1E3A"/>
                <w:sz w:val="17"/>
                <w:szCs w:val="17"/>
              </w:rPr>
              <w:t>16.28</w:t>
            </w:r>
          </w:p>
        </w:tc>
        <w:tc>
          <w:tcPr>
            <w:tcW w:type="dxa" w:w="1663"/>
          </w:tcPr>
          <w:p>
            <w:pPr>
              <w:spacing w:before="0" w:after="0" w:line="264" w:lineRule="auto"/>
            </w:pPr>
            <w:r>
              <w:rPr>
                <w:rFonts w:ascii="Arial" w:hAnsi="Arial" w:cs="Arial" w:eastAsia="Arial"/>
                <w:color w:val="0E1E3A"/>
                <w:sz w:val="17"/>
                <w:szCs w:val="17"/>
              </w:rPr>
              <w:t>16.28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0.18</w:t>
            </w:r>
          </w:p>
        </w:tc>
        <w:tc>
          <w:tcPr>
            <w:tcW w:type="dxa" w:w="1663"/>
          </w:tcPr>
          <w:p>
            <w:pPr>
              <w:spacing w:before="0" w:after="0" w:line="264" w:lineRule="auto"/>
            </w:pPr>
            <w:r>
              <w:rPr>
                <w:rFonts w:ascii="Arial" w:hAnsi="Arial" w:cs="Arial" w:eastAsia="Arial"/>
                <w:color w:val="0E1E3A"/>
                <w:sz w:val="17"/>
                <w:szCs w:val="17"/>
              </w:rPr>
              <w:t>1.42</w:t>
            </w:r>
          </w:p>
        </w:tc>
        <w:tc>
          <w:tcPr>
            <w:tcW w:type="dxa" w:w="1663"/>
          </w:tcPr>
          <w:p>
            <w:pPr>
              <w:spacing w:before="0" w:after="0" w:line="264" w:lineRule="auto"/>
            </w:pPr>
            <w:r>
              <w:rPr>
                <w:rFonts w:ascii="Arial" w:hAnsi="Arial" w:cs="Arial" w:eastAsia="Arial"/>
                <w:color w:val="0E1E3A"/>
                <w:sz w:val="17"/>
                <w:szCs w:val="17"/>
              </w:rPr>
              <w:t>1.42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In the general assembly meeting held on 19 July 2023, the unitholders approved the Buyback for Cancellation of Units of up to 50% of the total existing units.</w:t>
      </w:r>
    </w:p>
    <w:p>
      <w:pPr>
        <w:spacing w:before="0" w:after="80" w:line="312" w:lineRule="auto"/>
      </w:pPr>
      <w:r>
        <w:rPr>
          <w:rFonts w:ascii="Arial" w:hAnsi="Arial" w:cs="Arial" w:eastAsia="Arial"/>
          <w:color w:val="0E1E3A"/>
          <w:sz w:val="20"/>
          <w:szCs w:val="20"/>
        </w:rPr>
        <w:t>As of 28 December 2023, the Fund Manager has successfully bought back 28,383,198 units of the Fund amounting to 28.38% of the total number of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Global equity markets were volatile in Q4 2023 driven by fears of an economic slowdown, causing downward pressures on markets in October and November. However, this was followed by a rise in December driven by positive business income reports and the Fed’s decision to temporarily pause interest rate hikes. This calmed any fears of a recession and resulted overall in modest gains in key market indicators. Alkhabeer Global Equity Index rose by 7.7% in Q4 2023 and by 20.6% for the year 2023.</w:t>
      </w:r>
    </w:p>
    <w:p>
      <w:pPr>
        <w:spacing w:before="0" w:after="80" w:line="312" w:lineRule="auto"/>
      </w:pPr>
      <w:r>
        <w:rPr>
          <w:rFonts w:ascii="Arial" w:hAnsi="Arial" w:cs="Arial" w:eastAsia="Arial"/>
          <w:color w:val="0E1E3A"/>
          <w:sz w:val="20"/>
          <w:szCs w:val="20"/>
        </w:rPr>
        <w:t>IMF forecasts favorable growth of global GDP (2.9%), developed markets (1.4%) and emerging markets (4.0%). However, the pace is expected to be slower compared to long term historic averages. The main driver in 2024 is the expected decrease of the interest and inflation rates and the growth of GDP.</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1"/>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2"/>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3"/>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Q4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