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36"/>
            <wp:cNvGraphicFramePr/>
            <a:graphic>
              <a:graphicData uri="http://schemas.openxmlformats.org/drawingml/2006/picture">
                <pic:pic>
                  <pic:nvPicPr>
                    <pic:cNvPr id="9036" name="banner9036.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 name="Picture 9037"/>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نبذة عامة عن الصندوق</w:t>
      </w:r>
    </w:p>
    <w:p>
      <w:pPr>
        <w:bidi w:val="1"/>
        <w:spacing w:before="0" w:after="80" w:line="312" w:lineRule="auto"/>
      </w:pPr>
      <w:r>
        <w:rPr>
          <w:rFonts w:ascii="Arial" w:hAnsi="Arial" w:cs="Arial" w:eastAsia="Arial"/>
          <w:color w:val="0E1E3A"/>
          <w:sz w:val="20"/>
          <w:szCs w:val="20"/>
          <w:rtl/>
        </w:rPr>
        <w:t>صندوق "الخبير للنمو والدخل المتداول"، هو صندوق استثمار أسهم عام، متداول، مغلق، متوافق مع ضوابط الهيئة الشرعية، تم إنشاؤه بموجب الأنظمة واللوائح المعمول بها في المملكة العربية السعودية، ويخضع لرقابة وإشراف هيئة السوق المالية. ويتمثل الهدف الاستثماري للصندوق في تنمية صافي قيمة أصول الصندوق من خلال أداء استثماراته على المدى الطويل، وتحقيق دخل دوري للمستثمرين من خلال توزيع عوائد الشركات التي يستثمر بها الصندوق، بالإضافة إلى جزء من الأرباح الرأس مالية الناتجة عن نمو القيمة السوقية للأوراق المالية المستثمر بها. حيث يتم ذلك عن طريق الاستثمار في محفظة متنوعة من الأسهم العالمية، وصناديق الأسهم العامة والخاصة، وطروحات الشركات للاكتتاب العام، والطروحات الخاصة والنقد وما في حكمه.</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 name="Picture 903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البيانات الأساسية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التداول</w:t>
            </w:r>
          </w:p>
        </w:tc>
        <w:tc>
          <w:tcPr>
            <w:tcW w:type="dxa" w:w="6860"/>
          </w:tcPr>
          <w:p>
            <w:pPr>
              <w:bidi w:val="1"/>
              <w:spacing w:before="0" w:after="0" w:line="276" w:lineRule="auto"/>
            </w:pPr>
            <w:r>
              <w:rPr>
                <w:rFonts w:ascii="Arial" w:hAnsi="Arial" w:cs="Arial" w:eastAsia="Arial"/>
                <w:b/>
                <w:bCs/>
                <w:color w:val="0E1E3A"/>
                <w:sz w:val="18"/>
                <w:szCs w:val="18"/>
                <w:rtl/>
              </w:rPr>
              <w:t>4701</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بلومبرغ</w:t>
            </w:r>
          </w:p>
        </w:tc>
        <w:tc>
          <w:tcPr>
            <w:tcW w:type="dxa" w:w="6860"/>
          </w:tcPr>
          <w:p>
            <w:pPr>
              <w:bidi w:val="1"/>
              <w:spacing w:before="0" w:after="0" w:line="276" w:lineRule="auto"/>
            </w:pPr>
            <w:r>
              <w:rPr>
                <w:rFonts w:ascii="Arial" w:hAnsi="Arial" w:cs="Arial" w:eastAsia="Arial"/>
                <w:b/>
                <w:bCs/>
                <w:color w:val="0E1E3A"/>
                <w:sz w:val="18"/>
                <w:szCs w:val="18"/>
                <w:rtl/>
              </w:rPr>
              <w:t>AKGRINF AB EQUITY</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نوع الصندوق</w:t>
            </w:r>
          </w:p>
        </w:tc>
        <w:tc>
          <w:tcPr>
            <w:tcW w:type="dxa" w:w="6860"/>
          </w:tcPr>
          <w:p>
            <w:pPr>
              <w:bidi w:val="1"/>
              <w:spacing w:before="0" w:after="0" w:line="276" w:lineRule="auto"/>
            </w:pPr>
            <w:r>
              <w:rPr>
                <w:rFonts w:ascii="Arial" w:hAnsi="Arial" w:cs="Arial" w:eastAsia="Arial"/>
                <w:b/>
                <w:bCs/>
                <w:color w:val="0E1E3A"/>
                <w:sz w:val="18"/>
                <w:szCs w:val="18"/>
                <w:rtl/>
              </w:rPr>
              <w:t>صندوق استثمار أسهم عام متداول مغلق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تاريخ بدء الصندوق</w:t>
            </w:r>
          </w:p>
        </w:tc>
        <w:tc>
          <w:tcPr>
            <w:tcW w:type="dxa" w:w="6860"/>
          </w:tcPr>
          <w:p>
            <w:pPr>
              <w:bidi w:val="1"/>
              <w:spacing w:before="0" w:after="0" w:line="276" w:lineRule="auto"/>
            </w:pPr>
            <w:r>
              <w:rPr>
                <w:rFonts w:ascii="Arial" w:hAnsi="Arial" w:cs="Arial" w:eastAsia="Arial"/>
                <w:b/>
                <w:bCs/>
                <w:color w:val="0E1E3A"/>
                <w:sz w:val="18"/>
                <w:szCs w:val="18"/>
                <w:rtl/>
              </w:rPr>
              <w:t>27 أبريل 2022م</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مدة الصندوق</w:t>
            </w:r>
          </w:p>
        </w:tc>
        <w:tc>
          <w:tcPr>
            <w:tcW w:type="dxa" w:w="6860"/>
          </w:tcPr>
          <w:p>
            <w:pPr>
              <w:bidi w:val="1"/>
              <w:spacing w:before="0" w:after="0" w:line="276" w:lineRule="auto"/>
            </w:pPr>
            <w:r>
              <w:rPr>
                <w:rFonts w:ascii="Arial" w:hAnsi="Arial" w:cs="Arial" w:eastAsia="Arial"/>
                <w:b/>
                <w:bCs/>
                <w:color w:val="0E1E3A"/>
                <w:sz w:val="18"/>
                <w:szCs w:val="18"/>
                <w:rtl/>
              </w:rPr>
              <w:t>99 سنة تبدأ من تاريخ الإدراج، قابلة للتمديد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الوحدة</w:t>
            </w:r>
          </w:p>
        </w:tc>
        <w:tc>
          <w:tcPr>
            <w:tcW w:type="dxa" w:w="6860"/>
          </w:tcPr>
          <w:p>
            <w:pPr>
              <w:bidi w:val="1"/>
              <w:spacing w:before="0" w:after="0" w:line="276" w:lineRule="auto"/>
            </w:pPr>
            <w:r>
              <w:rPr>
                <w:rFonts w:ascii="Arial" w:hAnsi="Arial" w:cs="Arial" w:eastAsia="Arial"/>
                <w:b/>
                <w:bCs/>
                <w:color w:val="0E1E3A"/>
                <w:sz w:val="18"/>
                <w:szCs w:val="18"/>
                <w:rtl/>
              </w:rPr>
              <w:t>11.5726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أصول الصندوق *</w:t>
            </w:r>
          </w:p>
        </w:tc>
        <w:tc>
          <w:tcPr>
            <w:tcW w:type="dxa" w:w="6860"/>
          </w:tcPr>
          <w:p>
            <w:pPr>
              <w:bidi w:val="1"/>
              <w:spacing w:before="0" w:after="0" w:line="276" w:lineRule="auto"/>
            </w:pPr>
            <w:r>
              <w:rPr>
                <w:rFonts w:ascii="Arial" w:hAnsi="Arial" w:cs="Arial" w:eastAsia="Arial"/>
                <w:b/>
                <w:bCs/>
                <w:color w:val="0E1E3A"/>
                <w:sz w:val="18"/>
                <w:szCs w:val="18"/>
                <w:rtl/>
              </w:rPr>
              <w:t>805,741,520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الصندوق عند التأسيس</w:t>
            </w:r>
          </w:p>
        </w:tc>
        <w:tc>
          <w:tcPr>
            <w:tcW w:type="dxa" w:w="6860"/>
          </w:tcPr>
          <w:p>
            <w:pPr>
              <w:bidi w:val="1"/>
              <w:spacing w:before="0" w:after="0" w:line="276" w:lineRule="auto"/>
            </w:pPr>
            <w:r>
              <w:rPr>
                <w:rFonts w:ascii="Arial" w:hAnsi="Arial" w:cs="Arial" w:eastAsia="Arial"/>
                <w:b/>
                <w:bCs/>
                <w:color w:val="0E1E3A"/>
                <w:sz w:val="18"/>
                <w:szCs w:val="18"/>
                <w:rtl/>
              </w:rPr>
              <w:t>مليار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الاقتراض *</w:t>
            </w:r>
          </w:p>
        </w:tc>
        <w:tc>
          <w:tcPr>
            <w:tcW w:type="dxa" w:w="6860"/>
          </w:tcPr>
          <w:p>
            <w:pPr>
              <w:bidi w:val="1"/>
              <w:spacing w:before="0" w:after="0" w:line="276" w:lineRule="auto"/>
            </w:pPr>
            <w:r>
              <w:rPr>
                <w:rFonts w:ascii="Arial" w:hAnsi="Arial" w:cs="Arial" w:eastAsia="Arial"/>
                <w:b/>
                <w:bCs/>
                <w:color w:val="0E1E3A"/>
                <w:sz w:val="18"/>
                <w:szCs w:val="18"/>
                <w:rtl/>
              </w:rPr>
              <w:t>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القيمة الإجمالية لأصول الصندوق</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قيمة صافي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مستوى المخاطر</w:t>
            </w:r>
          </w:p>
        </w:tc>
        <w:tc>
          <w:tcPr>
            <w:tcW w:type="dxa" w:w="6860"/>
          </w:tcPr>
          <w:p>
            <w:pPr>
              <w:bidi w:val="1"/>
              <w:spacing w:before="0" w:after="0" w:line="276" w:lineRule="auto"/>
            </w:pPr>
            <w:r>
              <w:rPr>
                <w:rFonts w:ascii="Arial" w:hAnsi="Arial" w:cs="Arial" w:eastAsia="Arial"/>
                <w:b/>
                <w:bCs/>
                <w:color w:val="0E1E3A"/>
                <w:sz w:val="18"/>
                <w:szCs w:val="18"/>
                <w:rtl/>
              </w:rPr>
              <w:t>مرتفع</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عملة الصندوق</w:t>
            </w:r>
          </w:p>
        </w:tc>
        <w:tc>
          <w:tcPr>
            <w:tcW w:type="dxa" w:w="6860"/>
          </w:tcPr>
          <w:p>
            <w:pPr>
              <w:bidi w:val="1"/>
              <w:spacing w:before="0" w:after="0" w:line="276" w:lineRule="auto"/>
            </w:pPr>
            <w:r>
              <w:rPr>
                <w:rFonts w:ascii="Arial" w:hAnsi="Arial" w:cs="Arial" w:eastAsia="Arial"/>
                <w:b/>
                <w:bCs/>
                <w:color w:val="0E1E3A"/>
                <w:sz w:val="18"/>
                <w:szCs w:val="18"/>
                <w:rtl/>
              </w:rPr>
              <w:t>ريال سعودي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مستشار الاستثمار ومدير الصندوق من الباطن</w:t>
            </w:r>
          </w:p>
        </w:tc>
        <w:tc>
          <w:tcPr>
            <w:tcW w:type="dxa" w:w="6860"/>
          </w:tcPr>
          <w:p>
            <w:pPr>
              <w:bidi w:val="1"/>
              <w:spacing w:before="0" w:after="0" w:line="276" w:lineRule="auto"/>
            </w:pPr>
            <w:r>
              <w:rPr>
                <w:rFonts w:ascii="Arial" w:hAnsi="Arial" w:cs="Arial" w:eastAsia="Arial"/>
                <w:b/>
                <w:bCs/>
                <w:color w:val="0E1E3A"/>
                <w:sz w:val="18"/>
                <w:szCs w:val="18"/>
                <w:rtl/>
              </w:rPr>
              <w:t>-</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رسوم الإدارة للصناديق المستثمر فيها</w:t>
            </w:r>
          </w:p>
        </w:tc>
        <w:tc>
          <w:tcPr>
            <w:tcW w:type="dxa" w:w="6860"/>
          </w:tcPr>
          <w:p>
            <w:pPr>
              <w:bidi w:val="1"/>
              <w:spacing w:before="0" w:after="0" w:line="276" w:lineRule="auto"/>
            </w:pPr>
            <w:r>
              <w:rPr>
                <w:rFonts w:ascii="Arial" w:hAnsi="Arial" w:cs="Arial" w:eastAsia="Arial"/>
                <w:b/>
                <w:bCs/>
                <w:color w:val="0E1E3A"/>
                <w:sz w:val="18"/>
                <w:szCs w:val="18"/>
              </w:rPr>
              <w:t>‎0.06%‎</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أيام المتوسط المرجح</w:t>
            </w:r>
          </w:p>
        </w:tc>
        <w:tc>
          <w:tcPr>
            <w:tcW w:type="dxa" w:w="6860"/>
          </w:tcPr>
          <w:p>
            <w:pPr>
              <w:bidi w:val="1"/>
              <w:spacing w:before="0" w:after="0" w:line="276" w:lineRule="auto"/>
            </w:pPr>
            <w:r>
              <w:rPr>
                <w:rFonts w:ascii="Arial" w:hAnsi="Arial" w:cs="Arial" w:eastAsia="Arial"/>
                <w:b/>
                <w:bCs/>
                <w:color w:val="0E1E3A"/>
                <w:sz w:val="18"/>
                <w:szCs w:val="18"/>
                <w:rtl/>
              </w:rPr>
              <w:t>92 يوما</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31 ديسمبر 2024م (غير مدققة).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4" name="Picture 903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نسب تركز فئات الأصول في محفظة الصندوق</w:t>
      </w:r>
    </w:p>
    <w:p>
      <w:pPr>
        <w:bidi w:val="1"/>
        <w:spacing w:before="0" w:after="80" w:line="240" w:lineRule="auto"/>
        <w:jc w:val="center"/>
      </w:pPr>
      <w:r>
        <w:drawing>
          <wp:inline xmlns:a="http://schemas.openxmlformats.org/drawingml/2006/main" xmlns:pic="http://schemas.openxmlformats.org/drawingml/2006/picture">
            <wp:extent cx="6336000" cy="1883676"/>
            <wp:docPr id="5" name="Picture 9040"/>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83676"/>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6" name="Picture 904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المؤشرات المالية*</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فترات التقييم</w:t>
            </w:r>
          </w:p>
        </w:tc>
        <w:tc>
          <w:tcPr>
            <w:tcW w:type="dxa" w:w="6860"/>
          </w:tcPr>
          <w:p>
            <w:pPr>
              <w:bidi w:val="1"/>
              <w:spacing w:before="0" w:after="0" w:line="276" w:lineRule="auto"/>
            </w:pPr>
            <w:r>
              <w:rPr>
                <w:rFonts w:ascii="Arial" w:hAnsi="Arial" w:cs="Arial" w:eastAsia="Arial"/>
                <w:b/>
                <w:bCs/>
                <w:color w:val="0E1E3A"/>
                <w:sz w:val="18"/>
                <w:szCs w:val="18"/>
                <w:rtl/>
              </w:rPr>
              <w:t>يوميا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tl/>
              </w:rPr>
              <w:t>805,741,520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أصول الصندوق *</w:t>
            </w:r>
          </w:p>
        </w:tc>
        <w:tc>
          <w:tcPr>
            <w:tcW w:type="dxa" w:w="6860"/>
          </w:tcPr>
          <w:p>
            <w:pPr>
              <w:bidi w:val="1"/>
              <w:spacing w:before="0" w:after="0" w:line="276" w:lineRule="auto"/>
            </w:pPr>
            <w:r>
              <w:rPr>
                <w:rFonts w:ascii="Arial" w:hAnsi="Arial" w:cs="Arial" w:eastAsia="Arial"/>
                <w:b/>
                <w:bCs/>
                <w:color w:val="0E1E3A"/>
                <w:sz w:val="18"/>
                <w:szCs w:val="18"/>
                <w:rtl/>
              </w:rPr>
              <w:t>801,036,612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مصاريف التعامل للربع المعني</w:t>
            </w:r>
          </w:p>
        </w:tc>
        <w:tc>
          <w:tcPr>
            <w:tcW w:type="dxa" w:w="6860"/>
          </w:tcPr>
          <w:p>
            <w:pPr>
              <w:bidi w:val="1"/>
              <w:spacing w:before="0" w:after="0" w:line="276" w:lineRule="auto"/>
            </w:pPr>
            <w:r>
              <w:rPr>
                <w:rFonts w:ascii="Arial" w:hAnsi="Arial" w:cs="Arial" w:eastAsia="Arial"/>
                <w:b/>
                <w:bCs/>
                <w:color w:val="0E1E3A"/>
                <w:sz w:val="18"/>
                <w:szCs w:val="18"/>
                <w:rtl/>
              </w:rPr>
              <w:t>133,565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مصاريف التعامل للربع المعني من متوسط صافي قيمة أصول الصندوق ****</w:t>
            </w:r>
          </w:p>
        </w:tc>
        <w:tc>
          <w:tcPr>
            <w:tcW w:type="dxa" w:w="6860"/>
          </w:tcPr>
          <w:p>
            <w:pPr>
              <w:bidi w:val="1"/>
              <w:spacing w:before="0" w:after="0" w:line="276" w:lineRule="auto"/>
            </w:pPr>
            <w:r>
              <w:rPr>
                <w:rFonts w:ascii="Arial" w:hAnsi="Arial" w:cs="Arial" w:eastAsia="Arial"/>
                <w:b/>
                <w:bCs/>
                <w:color w:val="0E1E3A"/>
                <w:sz w:val="18"/>
                <w:szCs w:val="18"/>
              </w:rPr>
              <w:t>‎0.02%‎</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المصروفات والأتعاب الإجمالية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‎0.37%‎</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تكاليف الصندوق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‎0.37%‎</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تكاليف الصندوق إلى متوسط صافي أصول الصندوق</w:t>
            </w:r>
          </w:p>
        </w:tc>
        <w:tc>
          <w:tcPr>
            <w:tcW w:type="dxa" w:w="6860"/>
          </w:tcPr>
          <w:p>
            <w:pPr>
              <w:bidi w:val="1"/>
              <w:spacing w:before="0" w:after="0" w:line="276" w:lineRule="auto"/>
            </w:pPr>
            <w:r>
              <w:rPr>
                <w:rFonts w:ascii="Arial" w:hAnsi="Arial" w:cs="Arial" w:eastAsia="Arial"/>
                <w:b/>
                <w:bCs/>
                <w:color w:val="0E1E3A"/>
                <w:sz w:val="18"/>
                <w:szCs w:val="18"/>
              </w:rPr>
              <w:t>‎0.36%‎</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المصروفات والتكاليف والأتعاب الإجمالية للربع المعني</w:t>
            </w:r>
          </w:p>
        </w:tc>
        <w:tc>
          <w:tcPr>
            <w:tcW w:type="dxa" w:w="6860"/>
          </w:tcPr>
          <w:p>
            <w:pPr>
              <w:bidi w:val="1"/>
              <w:spacing w:before="0" w:after="0" w:line="276" w:lineRule="auto"/>
            </w:pPr>
            <w:r>
              <w:rPr>
                <w:rFonts w:ascii="Arial" w:hAnsi="Arial" w:cs="Arial" w:eastAsia="Arial"/>
                <w:b/>
                <w:bCs/>
                <w:color w:val="0E1E3A"/>
                <w:sz w:val="18"/>
                <w:szCs w:val="18"/>
                <w:rtl/>
              </w:rPr>
              <w:t>2,976,030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المصروفات والأتعاب الإجمالية للربع المعني من متوسط صافي أصول الصندوق **</w:t>
            </w:r>
          </w:p>
        </w:tc>
        <w:tc>
          <w:tcPr>
            <w:tcW w:type="dxa" w:w="6860"/>
          </w:tcPr>
          <w:p>
            <w:pPr>
              <w:bidi w:val="1"/>
              <w:spacing w:before="0" w:after="0" w:line="276" w:lineRule="auto"/>
            </w:pPr>
            <w:r>
              <w:rPr>
                <w:rFonts w:ascii="Arial" w:hAnsi="Arial" w:cs="Arial" w:eastAsia="Arial"/>
                <w:b/>
                <w:bCs/>
                <w:color w:val="0E1E3A"/>
                <w:sz w:val="18"/>
                <w:szCs w:val="18"/>
              </w:rPr>
              <w:t>‎0.36%‎</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31 ديسمبر 2024م (غير مدققة).</w:t>
      </w:r>
      <w:r>
        <w:br/>
      </w:r>
      <w:r>
        <w:rPr>
          <w:rFonts w:ascii="Arial" w:hAnsi="Arial" w:cs="Arial" w:eastAsia="Arial"/>
          <w:color w:val="5A6478"/>
          <w:sz w:val="17"/>
          <w:szCs w:val="17"/>
          <w:rtl/>
        </w:rPr>
        <w:t>** مصروفات وأتعاب الصندوق هي كافة مصروفات الصندوق خلال الربع المعني ما عدا تكلفة التمويل.</w:t>
      </w:r>
      <w:r>
        <w:br/>
      </w:r>
      <w:r>
        <w:rPr>
          <w:rFonts w:ascii="Arial" w:hAnsi="Arial" w:cs="Arial" w:eastAsia="Arial"/>
          <w:color w:val="5A6478"/>
          <w:sz w:val="17"/>
          <w:szCs w:val="17"/>
          <w:rtl/>
        </w:rPr>
        <w:t>*** تكاليف الصندوق هي كافة أتعاب ومصروفات الصندوق متضمنة تكاليف التمويل.</w:t>
      </w:r>
      <w:r>
        <w:br/>
      </w:r>
      <w:r>
        <w:rPr>
          <w:rFonts w:ascii="Arial" w:hAnsi="Arial" w:cs="Arial" w:eastAsia="Arial"/>
          <w:color w:val="5A6478"/>
          <w:sz w:val="17"/>
          <w:szCs w:val="17"/>
          <w:rtl/>
        </w:rPr>
        <w:t>**** متوسط صافي قيمة أصول الصندوق خلال الربع المعني 820,901,654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7" name="Picture 904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الاستثمارات حسب الموقع الجغرافي</w:t>
      </w:r>
    </w:p>
    <w:p>
      <w:pPr>
        <w:bidi w:val="1"/>
        <w:spacing w:before="0" w:after="80" w:line="240" w:lineRule="auto"/>
        <w:jc w:val="center"/>
      </w:pPr>
      <w:r>
        <w:drawing>
          <wp:inline xmlns:a="http://schemas.openxmlformats.org/drawingml/2006/main" xmlns:pic="http://schemas.openxmlformats.org/drawingml/2006/picture">
            <wp:extent cx="6336000" cy="1978811"/>
            <wp:docPr id="8" name="Picture 9043"/>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978811"/>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9" name="Picture 904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أكبر 10 شركات في الأسهم العالمية والمحلية المدرجة</w:t>
      </w:r>
    </w:p>
    <w:p>
      <w:pPr>
        <w:bidi w:val="1"/>
        <w:spacing w:before="0" w:after="80" w:line="240" w:lineRule="auto"/>
        <w:jc w:val="center"/>
      </w:pPr>
      <w:r>
        <w:drawing>
          <wp:inline xmlns:a="http://schemas.openxmlformats.org/drawingml/2006/main" xmlns:pic="http://schemas.openxmlformats.org/drawingml/2006/picture">
            <wp:extent cx="6336000" cy="3015784"/>
            <wp:docPr id="10" name="Picture 9045"/>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3015784"/>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1" name="Picture 904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أكبر قطاعات الشركات التي يستثمر فيها الصندوق</w:t>
      </w:r>
    </w:p>
    <w:p>
      <w:pPr>
        <w:bidi w:val="1"/>
        <w:spacing w:before="0" w:after="80" w:line="240" w:lineRule="auto"/>
        <w:jc w:val="center"/>
      </w:pPr>
      <w:r>
        <w:drawing>
          <wp:inline xmlns:a="http://schemas.openxmlformats.org/drawingml/2006/main" xmlns:pic="http://schemas.openxmlformats.org/drawingml/2006/picture">
            <wp:extent cx="6336000" cy="3025297"/>
            <wp:docPr id="12" name="Picture 9047"/>
            <wp:cNvGraphicFramePr>
              <a:graphicFrameLocks noChangeAspect="1"/>
            </wp:cNvGraphicFramePr>
            <a:graphic>
              <a:graphicData uri="http://schemas.openxmlformats.org/drawingml/2006/picture">
                <pic:pic>
                  <pic:nvPicPr>
                    <pic:cNvPr id="0" name="x5.j.jpg"/>
                    <pic:cNvPicPr/>
                  </pic:nvPicPr>
                  <pic:blipFill>
                    <a:blip r:embed="rId19"/>
                    <a:stretch>
                      <a:fillRect/>
                    </a:stretch>
                  </pic:blipFill>
                  <pic:spPr>
                    <a:xfrm>
                      <a:off x="0" y="0"/>
                      <a:ext cx="6336000" cy="3025297"/>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3" name="Picture 904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أصول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أسهم مدرجة</w:t>
            </w:r>
          </w:p>
        </w:tc>
        <w:tc>
          <w:tcPr>
            <w:tcW w:type="dxa" w:w="6860"/>
          </w:tcPr>
          <w:p>
            <w:pPr>
              <w:bidi w:val="1"/>
              <w:spacing w:before="0" w:after="0" w:line="276" w:lineRule="auto"/>
            </w:pPr>
            <w:r>
              <w:rPr>
                <w:rFonts w:ascii="Arial" w:hAnsi="Arial" w:cs="Arial" w:eastAsia="Arial"/>
                <w:b/>
                <w:bCs/>
                <w:color w:val="0E1E3A"/>
                <w:sz w:val="18"/>
                <w:szCs w:val="18"/>
                <w:rtl/>
              </w:rPr>
              <w:t>782,160,814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النقد وما في حكمه</w:t>
            </w:r>
          </w:p>
        </w:tc>
        <w:tc>
          <w:tcPr>
            <w:tcW w:type="dxa" w:w="6860"/>
          </w:tcPr>
          <w:p>
            <w:pPr>
              <w:bidi w:val="1"/>
              <w:spacing w:before="0" w:after="0" w:line="276" w:lineRule="auto"/>
            </w:pPr>
            <w:r>
              <w:rPr>
                <w:rFonts w:ascii="Arial" w:hAnsi="Arial" w:cs="Arial" w:eastAsia="Arial"/>
                <w:b/>
                <w:bCs/>
                <w:color w:val="0E1E3A"/>
                <w:sz w:val="18"/>
                <w:szCs w:val="18"/>
                <w:rtl/>
              </w:rPr>
              <w:t>23,580,706 ر.س.</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4" name="Picture 904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صافي قيمة الأصول وسعر الوحدة*</w:t>
      </w:r>
    </w:p>
    <w:p>
      <w:pPr>
        <w:bidi w:val="1"/>
        <w:spacing w:before="0" w:after="80" w:line="240" w:lineRule="auto"/>
        <w:jc w:val="center"/>
      </w:pPr>
      <w:r>
        <w:drawing>
          <wp:inline xmlns:a="http://schemas.openxmlformats.org/drawingml/2006/main" xmlns:pic="http://schemas.openxmlformats.org/drawingml/2006/picture">
            <wp:extent cx="6336000" cy="3091892"/>
            <wp:docPr id="15" name="Picture 9050"/>
            <wp:cNvGraphicFramePr>
              <a:graphicFrameLocks noChangeAspect="1"/>
            </wp:cNvGraphicFramePr>
            <a:graphic>
              <a:graphicData uri="http://schemas.openxmlformats.org/drawingml/2006/picture">
                <pic:pic>
                  <pic:nvPicPr>
                    <pic:cNvPr id="0" name="x6.j.jpg"/>
                    <pic:cNvPicPr/>
                  </pic:nvPicPr>
                  <pic:blipFill>
                    <a:blip r:embed="rId20"/>
                    <a:stretch>
                      <a:fillRect/>
                    </a:stretch>
                  </pic:blipFill>
                  <pic:spPr>
                    <a:xfrm>
                      <a:off x="0" y="0"/>
                      <a:ext cx="6336000" cy="3091892"/>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6" name="Picture 905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القيمة السوقية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الإدراج (27 أبريل 2022م)</w:t>
            </w:r>
          </w:p>
        </w:tc>
        <w:tc>
          <w:tcPr>
            <w:tcW w:type="dxa" w:w="6860"/>
          </w:tcPr>
          <w:p>
            <w:pPr>
              <w:bidi w:val="1"/>
              <w:spacing w:before="0" w:after="0" w:line="276" w:lineRule="auto"/>
            </w:pPr>
            <w:r>
              <w:rPr>
                <w:rFonts w:ascii="Arial" w:hAnsi="Arial" w:cs="Arial" w:eastAsia="Arial"/>
                <w:b/>
                <w:bCs/>
                <w:color w:val="0E1E3A"/>
                <w:sz w:val="18"/>
                <w:szCs w:val="18"/>
                <w:rtl/>
              </w:rPr>
              <w:t>1,000,000,000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30 يونيو 2022م</w:t>
            </w:r>
          </w:p>
        </w:tc>
        <w:tc>
          <w:tcPr>
            <w:tcW w:type="dxa" w:w="6860"/>
          </w:tcPr>
          <w:p>
            <w:pPr>
              <w:bidi w:val="1"/>
              <w:spacing w:before="0" w:after="0" w:line="276" w:lineRule="auto"/>
            </w:pPr>
            <w:r>
              <w:rPr>
                <w:rFonts w:ascii="Arial" w:hAnsi="Arial" w:cs="Arial" w:eastAsia="Arial"/>
                <w:b/>
                <w:bCs/>
                <w:color w:val="0E1E3A"/>
                <w:sz w:val="18"/>
                <w:szCs w:val="18"/>
                <w:rtl/>
              </w:rPr>
              <w:t>691,000,000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29 سبتمبر 2022م</w:t>
            </w:r>
          </w:p>
        </w:tc>
        <w:tc>
          <w:tcPr>
            <w:tcW w:type="dxa" w:w="6860"/>
          </w:tcPr>
          <w:p>
            <w:pPr>
              <w:bidi w:val="1"/>
              <w:spacing w:before="0" w:after="0" w:line="276" w:lineRule="auto"/>
            </w:pPr>
            <w:r>
              <w:rPr>
                <w:rFonts w:ascii="Arial" w:hAnsi="Arial" w:cs="Arial" w:eastAsia="Arial"/>
                <w:b/>
                <w:bCs/>
                <w:color w:val="0E1E3A"/>
                <w:sz w:val="18"/>
                <w:szCs w:val="18"/>
                <w:rtl/>
              </w:rPr>
              <w:t>617,000,000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29 ديسمبر 2022م</w:t>
            </w:r>
          </w:p>
        </w:tc>
        <w:tc>
          <w:tcPr>
            <w:tcW w:type="dxa" w:w="6860"/>
          </w:tcPr>
          <w:p>
            <w:pPr>
              <w:bidi w:val="1"/>
              <w:spacing w:before="0" w:after="0" w:line="276" w:lineRule="auto"/>
            </w:pPr>
            <w:r>
              <w:rPr>
                <w:rFonts w:ascii="Arial" w:hAnsi="Arial" w:cs="Arial" w:eastAsia="Arial"/>
                <w:b/>
                <w:bCs/>
                <w:color w:val="0E1E3A"/>
                <w:sz w:val="18"/>
                <w:szCs w:val="18"/>
                <w:rtl/>
              </w:rPr>
              <w:t>569,000,000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30 مارس 2023م</w:t>
            </w:r>
          </w:p>
        </w:tc>
        <w:tc>
          <w:tcPr>
            <w:tcW w:type="dxa" w:w="6860"/>
          </w:tcPr>
          <w:p>
            <w:pPr>
              <w:bidi w:val="1"/>
              <w:spacing w:before="0" w:after="0" w:line="276" w:lineRule="auto"/>
            </w:pPr>
            <w:r>
              <w:rPr>
                <w:rFonts w:ascii="Arial" w:hAnsi="Arial" w:cs="Arial" w:eastAsia="Arial"/>
                <w:b/>
                <w:bCs/>
                <w:color w:val="0E1E3A"/>
                <w:sz w:val="18"/>
                <w:szCs w:val="18"/>
                <w:rtl/>
              </w:rPr>
              <w:t>597,000,000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22 يونيو 2023م</w:t>
            </w:r>
          </w:p>
        </w:tc>
        <w:tc>
          <w:tcPr>
            <w:tcW w:type="dxa" w:w="6860"/>
          </w:tcPr>
          <w:p>
            <w:pPr>
              <w:bidi w:val="1"/>
              <w:spacing w:before="0" w:after="0" w:line="276" w:lineRule="auto"/>
            </w:pPr>
            <w:r>
              <w:rPr>
                <w:rFonts w:ascii="Arial" w:hAnsi="Arial" w:cs="Arial" w:eastAsia="Arial"/>
                <w:b/>
                <w:bCs/>
                <w:color w:val="0E1E3A"/>
                <w:sz w:val="18"/>
                <w:szCs w:val="18"/>
                <w:rtl/>
              </w:rPr>
              <w:t>811,000,000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28 سبتمبر 2023م *</w:t>
            </w:r>
          </w:p>
        </w:tc>
        <w:tc>
          <w:tcPr>
            <w:tcW w:type="dxa" w:w="6860"/>
          </w:tcPr>
          <w:p>
            <w:pPr>
              <w:bidi w:val="1"/>
              <w:spacing w:before="0" w:after="0" w:line="276" w:lineRule="auto"/>
            </w:pPr>
            <w:r>
              <w:rPr>
                <w:rFonts w:ascii="Arial" w:hAnsi="Arial" w:cs="Arial" w:eastAsia="Arial"/>
                <w:b/>
                <w:bCs/>
                <w:color w:val="0E1E3A"/>
                <w:sz w:val="18"/>
                <w:szCs w:val="18"/>
                <w:rtl/>
              </w:rPr>
              <w:t>654,189,890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31 ديسمبر 2023م **</w:t>
            </w:r>
          </w:p>
        </w:tc>
        <w:tc>
          <w:tcPr>
            <w:tcW w:type="dxa" w:w="6860"/>
          </w:tcPr>
          <w:p>
            <w:pPr>
              <w:bidi w:val="1"/>
              <w:spacing w:before="0" w:after="0" w:line="276" w:lineRule="auto"/>
            </w:pPr>
            <w:r>
              <w:rPr>
                <w:rFonts w:ascii="Arial" w:hAnsi="Arial" w:cs="Arial" w:eastAsia="Arial"/>
                <w:b/>
                <w:bCs/>
                <w:color w:val="0E1E3A"/>
                <w:sz w:val="18"/>
                <w:szCs w:val="18"/>
                <w:rtl/>
              </w:rPr>
              <w:t>633,808,698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31 مارس 2024م ***</w:t>
            </w:r>
          </w:p>
        </w:tc>
        <w:tc>
          <w:tcPr>
            <w:tcW w:type="dxa" w:w="6860"/>
          </w:tcPr>
          <w:p>
            <w:pPr>
              <w:bidi w:val="1"/>
              <w:spacing w:before="0" w:after="0" w:line="276" w:lineRule="auto"/>
            </w:pPr>
            <w:r>
              <w:rPr>
                <w:rFonts w:ascii="Arial" w:hAnsi="Arial" w:cs="Arial" w:eastAsia="Arial"/>
                <w:b/>
                <w:bCs/>
                <w:color w:val="0E1E3A"/>
                <w:sz w:val="18"/>
                <w:szCs w:val="18"/>
                <w:rtl/>
              </w:rPr>
              <w:t>642,402,714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30 يونيو 2024م ****</w:t>
            </w:r>
          </w:p>
        </w:tc>
        <w:tc>
          <w:tcPr>
            <w:tcW w:type="dxa" w:w="6860"/>
          </w:tcPr>
          <w:p>
            <w:pPr>
              <w:bidi w:val="1"/>
              <w:spacing w:before="0" w:after="0" w:line="276" w:lineRule="auto"/>
            </w:pPr>
            <w:r>
              <w:rPr>
                <w:rFonts w:ascii="Arial" w:hAnsi="Arial" w:cs="Arial" w:eastAsia="Arial"/>
                <w:b/>
                <w:bCs/>
                <w:color w:val="0E1E3A"/>
                <w:sz w:val="18"/>
                <w:szCs w:val="18"/>
                <w:rtl/>
              </w:rPr>
              <w:t>621,319,083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30 سبتمبر 2024م *****</w:t>
            </w:r>
          </w:p>
        </w:tc>
        <w:tc>
          <w:tcPr>
            <w:tcW w:type="dxa" w:w="6860"/>
          </w:tcPr>
          <w:p>
            <w:pPr>
              <w:bidi w:val="1"/>
              <w:spacing w:before="0" w:after="0" w:line="276" w:lineRule="auto"/>
            </w:pPr>
            <w:r>
              <w:rPr>
                <w:rFonts w:ascii="Arial" w:hAnsi="Arial" w:cs="Arial" w:eastAsia="Arial"/>
                <w:b/>
                <w:bCs/>
                <w:color w:val="0E1E3A"/>
                <w:sz w:val="18"/>
                <w:szCs w:val="18"/>
                <w:rtl/>
              </w:rPr>
              <w:t>572,376,972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31 ديسمبر 2024م ******</w:t>
            </w:r>
          </w:p>
        </w:tc>
        <w:tc>
          <w:tcPr>
            <w:tcW w:type="dxa" w:w="6860"/>
          </w:tcPr>
          <w:p>
            <w:pPr>
              <w:bidi w:val="1"/>
              <w:spacing w:before="0" w:after="0" w:line="276" w:lineRule="auto"/>
            </w:pPr>
            <w:r>
              <w:rPr>
                <w:rFonts w:ascii="Arial" w:hAnsi="Arial" w:cs="Arial" w:eastAsia="Arial"/>
                <w:b/>
                <w:bCs/>
                <w:color w:val="0E1E3A"/>
                <w:sz w:val="18"/>
                <w:szCs w:val="18"/>
                <w:rtl/>
              </w:rPr>
              <w:t>583,510,775 رس.</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غير متضمنة الوحدات المعاد شراؤها من قبل الصندوق بغرض إلغائها، بعدد 24,371,111 وحدة، كما في 28 سبتمبر 2023م.</w:t>
      </w:r>
      <w:r>
        <w:br/>
      </w:r>
      <w:r>
        <w:rPr>
          <w:rFonts w:ascii="Arial" w:hAnsi="Arial" w:cs="Arial" w:eastAsia="Arial"/>
          <w:color w:val="5A6478"/>
          <w:sz w:val="17"/>
          <w:szCs w:val="17"/>
          <w:rtl/>
        </w:rPr>
        <w:t>** غير متضمنة الوحدات المعاد شراؤها من قبل الصندوق بغرض إلغائها، بعدد 28,383,198 وحدة كما في 31 ديسمبر 2023م.</w:t>
      </w:r>
      <w:r>
        <w:br/>
      </w:r>
      <w:r>
        <w:rPr>
          <w:rFonts w:ascii="Arial" w:hAnsi="Arial" w:cs="Arial" w:eastAsia="Arial"/>
          <w:color w:val="5A6478"/>
          <w:sz w:val="17"/>
          <w:szCs w:val="17"/>
          <w:rtl/>
        </w:rPr>
        <w:t>*** غير متضمنة الوحدات المعاد شراؤها من قبل الصندوق بغرض إلغائها، بعدد 28,383,198 وحدة كما في 31 مارس 2024م.</w:t>
      </w:r>
      <w:r>
        <w:br/>
      </w:r>
      <w:r>
        <w:rPr>
          <w:rFonts w:ascii="Arial" w:hAnsi="Arial" w:cs="Arial" w:eastAsia="Arial"/>
          <w:color w:val="5A6478"/>
          <w:sz w:val="17"/>
          <w:szCs w:val="17"/>
          <w:rtl/>
        </w:rPr>
        <w:t>**** غير متضمنة الوحدات المعاد شراؤها من قبل الصندوق بغرض إلغائها، بعدد 29,475,700.00 كما في 30 يونيو 2024م.</w:t>
      </w:r>
      <w:r>
        <w:br/>
      </w:r>
      <w:r>
        <w:rPr>
          <w:rFonts w:ascii="Arial" w:hAnsi="Arial" w:cs="Arial" w:eastAsia="Arial"/>
          <w:color w:val="5A6478"/>
          <w:sz w:val="17"/>
          <w:szCs w:val="17"/>
          <w:rtl/>
        </w:rPr>
        <w:t>***** تم إلغاء الوحدات المعاد شراؤها من قبل الصندوق بغرض إلغائها بعدد 30,025,851 وحدة بتاريخ 25 يوليو 2024م.</w:t>
      </w:r>
      <w:r>
        <w:br/>
      </w:r>
      <w:r>
        <w:rPr>
          <w:rFonts w:ascii="Arial" w:hAnsi="Arial" w:cs="Arial" w:eastAsia="Arial"/>
          <w:color w:val="5A6478"/>
          <w:sz w:val="17"/>
          <w:szCs w:val="17"/>
          <w:rtl/>
        </w:rPr>
        <w:t>***** غير متضمنة الوحدات المعاد شراؤها من قبل الصندوق بغرض إلغائها، بعدد 257,100 كما في 30 سبتمبر 2024م.</w:t>
      </w:r>
      <w:r>
        <w:br/>
      </w:r>
      <w:r>
        <w:rPr>
          <w:rFonts w:ascii="Arial" w:hAnsi="Arial" w:cs="Arial" w:eastAsia="Arial"/>
          <w:color w:val="5A6478"/>
          <w:sz w:val="17"/>
          <w:szCs w:val="17"/>
          <w:rtl/>
        </w:rPr>
        <w:t>****** غير متضمنة الوحدات المعاد شراؤها من قبل الصندوق بغرض إلغائها، بعدد 755,789 وحدة كما في 31 ديسمبر 2024م.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7" name="Picture 905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وحدات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بنهاية الربع الرابع (31 ديسمبر 2024م)</w:t>
            </w:r>
          </w:p>
        </w:tc>
        <w:tc>
          <w:tcPr>
            <w:tcW w:type="dxa" w:w="6860"/>
          </w:tcPr>
          <w:p>
            <w:pPr>
              <w:bidi w:val="1"/>
              <w:spacing w:before="0" w:after="0" w:line="276" w:lineRule="auto"/>
            </w:pPr>
            <w:r>
              <w:rPr>
                <w:rFonts w:ascii="Arial" w:hAnsi="Arial" w:cs="Arial" w:eastAsia="Arial"/>
                <w:b/>
                <w:bCs/>
                <w:color w:val="0E1E3A"/>
                <w:sz w:val="18"/>
                <w:szCs w:val="18"/>
                <w:rtl/>
              </w:rPr>
              <w:t>8.43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التغير في سعر الوحدة خلال الربع الحالي مقارنة بالربع السابق (من تاريخ 30 سبتمبر 2024م إلى 31 ديسمبر 2024م)</w:t>
            </w:r>
          </w:p>
        </w:tc>
        <w:tc>
          <w:tcPr>
            <w:tcW w:type="dxa" w:w="6860"/>
          </w:tcPr>
          <w:p>
            <w:pPr>
              <w:bidi w:val="1"/>
              <w:spacing w:before="0" w:after="0" w:line="276" w:lineRule="auto"/>
            </w:pPr>
            <w:r>
              <w:rPr>
                <w:rFonts w:ascii="Arial" w:hAnsi="Arial" w:cs="Arial" w:eastAsia="Arial"/>
                <w:b/>
                <w:bCs/>
                <w:color w:val="0E1E3A"/>
                <w:sz w:val="18"/>
                <w:szCs w:val="18"/>
              </w:rPr>
              <w:t>‎2.68%‎</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الإدراج (من تاريخ الإدراج إلى نهاية الربع الرابع 2024م)</w:t>
            </w:r>
          </w:p>
        </w:tc>
        <w:tc>
          <w:tcPr>
            <w:tcW w:type="dxa" w:w="6860"/>
          </w:tcPr>
          <w:p>
            <w:pPr>
              <w:bidi w:val="1"/>
              <w:spacing w:before="0" w:after="0" w:line="276" w:lineRule="auto"/>
            </w:pPr>
            <w:r>
              <w:rPr>
                <w:rFonts w:ascii="Arial" w:hAnsi="Arial" w:cs="Arial" w:eastAsia="Arial"/>
                <w:b/>
                <w:bCs/>
                <w:color w:val="0E1E3A"/>
                <w:sz w:val="18"/>
                <w:szCs w:val="18"/>
              </w:rPr>
              <w:t>‎-15.70%‎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العائد الكلي لسعر الوحدة منذ تاريخ الإدراج (من تاريخ الإدراج إلى نهاية الربع الرابع 2024م)</w:t>
            </w:r>
          </w:p>
        </w:tc>
        <w:tc>
          <w:tcPr>
            <w:tcW w:type="dxa" w:w="6860"/>
          </w:tcPr>
          <w:p>
            <w:pPr>
              <w:bidi w:val="1"/>
              <w:spacing w:before="0" w:after="0" w:line="276" w:lineRule="auto"/>
            </w:pPr>
            <w:r>
              <w:rPr>
                <w:rFonts w:ascii="Arial" w:hAnsi="Arial" w:cs="Arial" w:eastAsia="Arial"/>
                <w:b/>
                <w:bCs/>
                <w:color w:val="0E1E3A"/>
                <w:sz w:val="18"/>
                <w:szCs w:val="18"/>
              </w:rPr>
              <w:t>‎2.86%‎</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أعلى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9.38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أدنى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8.01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الوحدات القائمة (كما في 31 ديسمبر 2024م *</w:t>
            </w:r>
          </w:p>
        </w:tc>
        <w:tc>
          <w:tcPr>
            <w:tcW w:type="dxa" w:w="6860"/>
          </w:tcPr>
          <w:p>
            <w:pPr>
              <w:bidi w:val="1"/>
              <w:spacing w:before="0" w:after="0" w:line="276" w:lineRule="auto"/>
            </w:pPr>
            <w:r>
              <w:rPr>
                <w:rFonts w:ascii="Arial" w:hAnsi="Arial" w:cs="Arial" w:eastAsia="Arial"/>
                <w:b/>
                <w:bCs/>
                <w:color w:val="0E1E3A"/>
                <w:sz w:val="18"/>
                <w:szCs w:val="18"/>
                <w:rtl/>
              </w:rPr>
              <w:t>69,218,360 وحدة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المزدوج لصناديق أسواق النقد، وصناديق أدوات الدين ذات الدخل الثابت</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بعد خصم الوحدات المعاد شراؤها من قبل الصندوق بغرض إلغائها،</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8" name="Picture 9053"/>
            <wp:cNvGraphicFramePr>
              <a:graphicFrameLocks noChangeAspect="1"/>
            </wp:cNvGraphicFramePr>
            <a:graphic>
              <a:graphicData uri="http://schemas.openxmlformats.org/drawingml/2006/picture">
                <pic:pic>
                  <pic:nvPicPr>
                    <pic:cNvPr id="0" name="ico_737e94dc9d8d67dbf235ae564951a5f7.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الأرباح خلال الربع المعني</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سياسة توزيع الأرباح *</w:t>
            </w:r>
          </w:p>
        </w:tc>
        <w:tc>
          <w:tcPr>
            <w:tcW w:type="dxa" w:w="6860"/>
          </w:tcPr>
          <w:p>
            <w:pPr>
              <w:bidi w:val="1"/>
              <w:spacing w:before="0" w:after="0" w:line="276" w:lineRule="auto"/>
            </w:pPr>
            <w:r>
              <w:rPr>
                <w:rFonts w:ascii="Arial" w:hAnsi="Arial" w:cs="Arial" w:eastAsia="Arial"/>
                <w:b/>
                <w:bCs/>
                <w:color w:val="0E1E3A"/>
                <w:sz w:val="18"/>
                <w:szCs w:val="18"/>
                <w:rtl/>
              </w:rPr>
              <w:t xml:space="preserve">يستهدف مدير الصندوق توزيع </w:t>
            </w:r>
            <w:r>
              <w:rPr>
                <w:rFonts w:ascii="Arial" w:hAnsi="Arial" w:cs="Arial" w:eastAsia="Arial"/>
                <w:b/>
                <w:bCs/>
                <w:color w:val="0E1E3A"/>
                <w:sz w:val="18"/>
                <w:szCs w:val="18"/>
              </w:rPr>
              <w:t>‎100%‎</w:t>
            </w:r>
            <w:r>
              <w:rPr>
                <w:rFonts w:ascii="Arial" w:hAnsi="Arial" w:cs="Arial" w:eastAsia="Arial"/>
                <w:b/>
                <w:bCs/>
                <w:color w:val="0E1E3A"/>
                <w:sz w:val="18"/>
                <w:szCs w:val="18"/>
                <w:rtl/>
              </w:rPr>
              <w:t xml:space="preserve"> من صافي عوائد استثمارات الصندوق، والتي تشمل فقط توزيعات الأسهم المدرجة التي يستثمر بها الصندوق مرتين سنويا، حيث يقوم الصندوق بتوزيع العوائد خلال 40 يوم عمل من تاريخ إصدار القوائم المالية نصف السنوية والسنوية. ويحق لمدير الصندوق وفق ما يقرره مناسبا، توزيع حتى </w:t>
            </w:r>
            <w:r>
              <w:rPr>
                <w:rFonts w:ascii="Arial" w:hAnsi="Arial" w:cs="Arial" w:eastAsia="Arial"/>
                <w:b/>
                <w:bCs/>
                <w:color w:val="0E1E3A"/>
                <w:sz w:val="18"/>
                <w:szCs w:val="18"/>
              </w:rPr>
              <w:t>‎50%‎</w:t>
            </w:r>
            <w:r>
              <w:rPr>
                <w:rFonts w:ascii="Arial" w:hAnsi="Arial" w:cs="Arial" w:eastAsia="Arial"/>
                <w:b/>
                <w:bCs/>
                <w:color w:val="0E1E3A"/>
                <w:sz w:val="18"/>
                <w:szCs w:val="18"/>
                <w:rtl/>
              </w:rPr>
              <w:t xml:space="preserve"> من صافي الأرباح الرأس مالية المحققة وغير المحققة مرتين سنويا، حيث يقوم الصندوق بتوزيع الأرباح الرأس مالية (إن وجدت) المحققة وغير المحققة خلال 40 يوم عمل من تاريخ إصدار القوائم المالية نصف السنوية والسنوية، وسيتم الإعلان عن التوزيعات (إن وجدت) خلال عشرة أيام عمل من تاريخ إصدار القوائم المالية نصف السنوية والسنوية، وسيتم الإعلان عن تفاصيل التوزيعات النقدية من خلال موقع سوق (تداول السعودية).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خلال الربع المعني</w:t>
            </w:r>
          </w:p>
        </w:tc>
        <w:tc>
          <w:tcPr>
            <w:tcW w:type="dxa" w:w="6860"/>
          </w:tcPr>
          <w:p>
            <w:pPr>
              <w:bidi w:val="1"/>
              <w:spacing w:before="0" w:after="0" w:line="276" w:lineRule="auto"/>
            </w:pPr>
            <w:r>
              <w:rPr>
                <w:rFonts w:ascii="Arial" w:hAnsi="Arial" w:cs="Arial" w:eastAsia="Arial"/>
                <w:b/>
                <w:bCs/>
                <w:color w:val="0E1E3A"/>
                <w:sz w:val="18"/>
                <w:szCs w:val="18"/>
                <w:rtl/>
              </w:rPr>
              <w:t>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عن آخر فترة نصف سنوية</w:t>
            </w:r>
          </w:p>
        </w:tc>
        <w:tc>
          <w:tcPr>
            <w:tcW w:type="dxa" w:w="6860"/>
          </w:tcPr>
          <w:p>
            <w:pPr>
              <w:bidi w:val="1"/>
              <w:spacing w:before="0" w:after="0" w:line="276" w:lineRule="auto"/>
            </w:pPr>
            <w:r>
              <w:rPr>
                <w:rFonts w:ascii="Arial" w:hAnsi="Arial" w:cs="Arial" w:eastAsia="Arial"/>
                <w:b/>
                <w:bCs/>
                <w:color w:val="0E1E3A"/>
                <w:sz w:val="18"/>
                <w:szCs w:val="18"/>
                <w:rtl/>
              </w:rPr>
              <w:t>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الربح الموزع عن آخر فترة نصف سنوية عن كل وحدة **</w:t>
            </w:r>
          </w:p>
        </w:tc>
        <w:tc>
          <w:tcPr>
            <w:tcW w:type="dxa" w:w="6860"/>
          </w:tcPr>
          <w:p>
            <w:pPr>
              <w:bidi w:val="1"/>
              <w:spacing w:before="0" w:after="0" w:line="276" w:lineRule="auto"/>
            </w:pPr>
            <w:r>
              <w:rPr>
                <w:rFonts w:ascii="Arial" w:hAnsi="Arial" w:cs="Arial" w:eastAsia="Arial"/>
                <w:b/>
                <w:bCs/>
                <w:color w:val="0E1E3A"/>
                <w:sz w:val="18"/>
                <w:szCs w:val="18"/>
                <w:rtl/>
              </w:rPr>
              <w:t>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في الربع المعني من سعر الوحدة الأولي</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على سعر الوحدة السوقي</w:t>
            </w:r>
          </w:p>
        </w:tc>
        <w:tc>
          <w:tcPr>
            <w:tcW w:type="dxa" w:w="6860"/>
          </w:tcPr>
          <w:p>
            <w:pPr>
              <w:bidi w:val="1"/>
              <w:spacing w:before="0" w:after="0" w:line="276" w:lineRule="auto"/>
            </w:pPr>
            <w:r>
              <w:rPr>
                <w:rFonts w:ascii="Arial" w:hAnsi="Arial" w:cs="Arial" w:eastAsia="Arial"/>
                <w:b/>
                <w:bCs/>
                <w:color w:val="0E1E3A"/>
                <w:sz w:val="18"/>
                <w:szCs w:val="18"/>
                <w:rtl/>
              </w:rPr>
              <w:t>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الأرباح المستلمة من الأسهم المدرجة التي يستثمر بها الصندوق</w:t>
            </w:r>
          </w:p>
        </w:tc>
        <w:tc>
          <w:tcPr>
            <w:tcW w:type="dxa" w:w="6860"/>
          </w:tcPr>
          <w:p>
            <w:pPr>
              <w:bidi w:val="1"/>
              <w:spacing w:before="0" w:after="0" w:line="276" w:lineRule="auto"/>
            </w:pPr>
            <w:r>
              <w:rPr>
                <w:rFonts w:ascii="Arial" w:hAnsi="Arial" w:cs="Arial" w:eastAsia="Arial"/>
                <w:b/>
                <w:bCs/>
                <w:color w:val="0E1E3A"/>
                <w:sz w:val="18"/>
                <w:szCs w:val="18"/>
                <w:rtl/>
              </w:rPr>
              <w:t>1,005,909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خسائر محققة من استثمارات الصندوق</w:t>
            </w:r>
          </w:p>
        </w:tc>
        <w:tc>
          <w:tcPr>
            <w:tcW w:type="dxa" w:w="6860"/>
          </w:tcPr>
          <w:p>
            <w:pPr>
              <w:bidi w:val="1"/>
              <w:spacing w:before="0" w:after="0" w:line="276" w:lineRule="auto"/>
            </w:pPr>
            <w:r>
              <w:rPr>
                <w:rFonts w:ascii="Arial" w:hAnsi="Arial" w:cs="Arial" w:eastAsia="Arial"/>
                <w:b/>
                <w:bCs/>
                <w:color w:val="0E1E3A"/>
                <w:sz w:val="18"/>
                <w:szCs w:val="18"/>
                <w:rtl/>
              </w:rPr>
              <w:t>-5,114,817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خسائر غير محققة من استثمارات الصندوق</w:t>
            </w:r>
          </w:p>
        </w:tc>
        <w:tc>
          <w:tcPr>
            <w:tcW w:type="dxa" w:w="6860"/>
          </w:tcPr>
          <w:p>
            <w:pPr>
              <w:bidi w:val="1"/>
              <w:spacing w:before="0" w:after="0" w:line="276" w:lineRule="auto"/>
            </w:pPr>
            <w:r>
              <w:rPr>
                <w:rFonts w:ascii="Arial" w:hAnsi="Arial" w:cs="Arial" w:eastAsia="Arial"/>
                <w:b/>
                <w:bCs/>
                <w:color w:val="0E1E3A"/>
                <w:sz w:val="18"/>
                <w:szCs w:val="18"/>
                <w:rtl/>
              </w:rPr>
              <w:t>-20,279,819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أرباح فروقات عملة أجنبية</w:t>
            </w:r>
          </w:p>
        </w:tc>
        <w:tc>
          <w:tcPr>
            <w:tcW w:type="dxa" w:w="6860"/>
          </w:tcPr>
          <w:p>
            <w:pPr>
              <w:bidi w:val="1"/>
              <w:spacing w:before="0" w:after="0" w:line="276" w:lineRule="auto"/>
            </w:pPr>
            <w:r>
              <w:rPr>
                <w:rFonts w:ascii="Arial" w:hAnsi="Arial" w:cs="Arial" w:eastAsia="Arial"/>
                <w:b/>
                <w:bCs/>
                <w:color w:val="0E1E3A"/>
                <w:sz w:val="18"/>
                <w:szCs w:val="18"/>
                <w:rtl/>
              </w:rPr>
              <w:t>416,428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(خسارة) للربع المعني</w:t>
            </w:r>
          </w:p>
        </w:tc>
        <w:tc>
          <w:tcPr>
            <w:tcW w:type="dxa" w:w="6860"/>
          </w:tcPr>
          <w:p>
            <w:pPr>
              <w:bidi w:val="1"/>
              <w:spacing w:before="0" w:after="0" w:line="276" w:lineRule="auto"/>
            </w:pPr>
            <w:r>
              <w:rPr>
                <w:rFonts w:ascii="Arial" w:hAnsi="Arial" w:cs="Arial" w:eastAsia="Arial"/>
                <w:b/>
                <w:bCs/>
                <w:color w:val="0E1E3A"/>
                <w:sz w:val="18"/>
                <w:szCs w:val="18"/>
                <w:rtl/>
              </w:rPr>
              <w:t>-23,972,301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 خل للربع المعني على سعر الوحدة كما في 31 ديسمبر 2024م</w:t>
            </w:r>
          </w:p>
        </w:tc>
        <w:tc>
          <w:tcPr>
            <w:tcW w:type="dxa" w:w="6860"/>
          </w:tcPr>
          <w:p>
            <w:pPr>
              <w:bidi w:val="1"/>
              <w:spacing w:before="0" w:after="0" w:line="276" w:lineRule="auto"/>
            </w:pPr>
            <w:r>
              <w:rPr>
                <w:rFonts w:ascii="Arial" w:hAnsi="Arial" w:cs="Arial" w:eastAsia="Arial"/>
                <w:b/>
                <w:bCs/>
                <w:color w:val="0E1E3A"/>
                <w:sz w:val="18"/>
                <w:szCs w:val="18"/>
              </w:rPr>
              <w:t>‎-4.11%‎</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سيتم تحديث سياسة توزيع الأرباح بعد الحصول على موافقة هيئة السوق المالية.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9" name="Picture 905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أداء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المؤشر الاسترشادي</w:t>
            </w:r>
          </w:p>
        </w:tc>
        <w:tc>
          <w:tcPr>
            <w:tcW w:type="dxa" w:w="6860"/>
          </w:tcPr>
          <w:p>
            <w:pPr>
              <w:bidi w:val="1"/>
              <w:spacing w:before="0" w:after="0" w:line="276" w:lineRule="auto"/>
            </w:pPr>
            <w:r>
              <w:rPr>
                <w:rFonts w:ascii="Arial" w:hAnsi="Arial" w:cs="Arial" w:eastAsia="Arial"/>
                <w:b/>
                <w:bCs/>
                <w:color w:val="0E1E3A"/>
                <w:sz w:val="18"/>
                <w:szCs w:val="18"/>
                <w:rtl/>
              </w:rPr>
              <w:t>مؤشر "الخبير للأسهم العالمية"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الأولي (عند بداية الطرح)</w:t>
            </w:r>
          </w:p>
        </w:tc>
        <w:tc>
          <w:tcPr>
            <w:tcW w:type="dxa" w:w="6860"/>
          </w:tcPr>
          <w:p>
            <w:pPr>
              <w:bidi w:val="1"/>
              <w:spacing w:before="0" w:after="0" w:line="276" w:lineRule="auto"/>
            </w:pPr>
            <w:r>
              <w:rPr>
                <w:rFonts w:ascii="Arial" w:hAnsi="Arial" w:cs="Arial" w:eastAsia="Arial"/>
                <w:b/>
                <w:bCs/>
                <w:color w:val="0E1E3A"/>
                <w:sz w:val="18"/>
                <w:szCs w:val="18"/>
                <w:rtl/>
              </w:rPr>
              <w:t>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العائد الكلي الصافي للصندوق منذ تاريخ البدء</w:t>
            </w:r>
          </w:p>
        </w:tc>
        <w:tc>
          <w:tcPr>
            <w:tcW w:type="dxa" w:w="6860"/>
          </w:tcPr>
          <w:p>
            <w:pPr>
              <w:bidi w:val="1"/>
              <w:spacing w:before="0" w:after="0" w:line="276" w:lineRule="auto"/>
            </w:pPr>
            <w:r>
              <w:rPr>
                <w:rFonts w:ascii="Arial" w:hAnsi="Arial" w:cs="Arial" w:eastAsia="Arial"/>
                <w:b/>
                <w:bCs/>
                <w:color w:val="0E1E3A"/>
                <w:sz w:val="18"/>
                <w:szCs w:val="18"/>
              </w:rPr>
              <w:t>‎35.19%‎</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مكرر الربحية (لآخر 12 شهرًا)</w:t>
            </w:r>
          </w:p>
        </w:tc>
        <w:tc>
          <w:tcPr>
            <w:tcW w:type="dxa" w:w="6860"/>
          </w:tcPr>
          <w:p>
            <w:pPr>
              <w:bidi w:val="1"/>
              <w:spacing w:before="0" w:after="0" w:line="276" w:lineRule="auto"/>
            </w:pPr>
            <w:r>
              <w:rPr>
                <w:rFonts w:ascii="Arial" w:hAnsi="Arial" w:cs="Arial" w:eastAsia="Arial"/>
                <w:b/>
                <w:bCs/>
                <w:color w:val="0E1E3A"/>
                <w:sz w:val="18"/>
                <w:szCs w:val="18"/>
                <w:rtl/>
              </w:rPr>
              <w:t>23.8x</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0" name="Picture 905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وصف المؤشر الاسترشادي للصندوق</w:t>
      </w:r>
    </w:p>
    <w:p>
      <w:pPr>
        <w:bidi w:val="1"/>
        <w:spacing w:before="0" w:after="80" w:line="312" w:lineRule="auto"/>
      </w:pPr>
      <w:r>
        <w:rPr>
          <w:rFonts w:ascii="Arial" w:hAnsi="Arial" w:cs="Arial" w:eastAsia="Arial"/>
          <w:color w:val="0E1E3A"/>
          <w:sz w:val="20"/>
          <w:szCs w:val="20"/>
          <w:rtl/>
        </w:rPr>
        <w:t>مؤشر "الخبير للأسهم العالمية"، وهو مؤشر تم إنشاؤه خصيصا لصالح الصندوق بالتعاون مع مقدم خدمة المؤشر، والذي سيقوم بحساب قيم الشركات المضمنة في المؤشر وإدارته لمصلحة الصندوق. ويشمل المؤشر شركات متنوعة القطاعات والأحجام في أكبر الأسواق المالية العالمية، بالإضافة إلى أكبر الشركات القيادية في المملكة العربية السعودية بعد فلترة الشركات بناء على قيمة سوقية تتجاوز 100 مليون دولار أمريكي، وقيمة متداولة تتجاوز مليون دولار أمريكي يوميا. ويشمل المؤشر 160 شركة عالمية، تمثل أكبر الأسواق المالية العالمية، بالإضافة إلى أكبر عشر شركات في المملكة العربية السعودية متوافقة مع ضوابط اللجنة الشرعية. وتم تقسيم الشركات العالمية بحسب القيم السوقية على ثلاث فئات: أكبر 70 شركة من حيث القيم السوقية للأسهم الحرة من ضمن الشركات ذات القيم السوقية الكبيرة، وأكبر 50 شركة من حيث القيم السوقية للأسهم الحرة من ضمن الشركات ذات القيم السوقية المتوسطة، وأكبر 40 شركة من حيث القيم السوقية للأسهم الحرة من ضمن الشركات ذات القيم السوقية الصغيرة.</w:t>
      </w:r>
    </w:p>
    <w:p>
      <w:pPr>
        <w:bidi w:val="1"/>
        <w:spacing w:before="0" w:after="80" w:line="312" w:lineRule="auto"/>
      </w:pPr>
      <w:r>
        <w:rPr>
          <w:rFonts w:ascii="Arial" w:hAnsi="Arial" w:cs="Arial" w:eastAsia="Arial"/>
          <w:color w:val="0E1E3A"/>
          <w:sz w:val="20"/>
          <w:szCs w:val="20"/>
          <w:rtl/>
        </w:rPr>
        <w:t xml:space="preserve">يتم تعريف الشركات ذات القيمة السوقية الكبيرة بأنها تلك الشركات التي تمثل أكبر قيمة سوقية، وهي الشركة من شريحة الشركات التي تمثل ما يصل إلى </w:t>
      </w:r>
      <w:r>
        <w:rPr>
          <w:rFonts w:ascii="Arial" w:hAnsi="Arial" w:cs="Arial" w:eastAsia="Arial"/>
          <w:color w:val="0E1E3A"/>
          <w:sz w:val="20"/>
          <w:szCs w:val="20"/>
        </w:rPr>
        <w:t>‎70%‎</w:t>
      </w:r>
      <w:r>
        <w:rPr>
          <w:rFonts w:ascii="Arial" w:hAnsi="Arial" w:cs="Arial" w:eastAsia="Arial"/>
          <w:color w:val="0E1E3A"/>
          <w:sz w:val="20"/>
          <w:szCs w:val="20"/>
          <w:rtl/>
        </w:rPr>
        <w:t xml:space="preserve"> من حجم قيم السوق مجتمعة، بينما تمثل شريحة الشركات متوسطة القيمة السوقية ما يتراوح بين أكثر من </w:t>
      </w:r>
      <w:r>
        <w:rPr>
          <w:rFonts w:ascii="Arial" w:hAnsi="Arial" w:cs="Arial" w:eastAsia="Arial"/>
          <w:color w:val="0E1E3A"/>
          <w:sz w:val="20"/>
          <w:szCs w:val="20"/>
        </w:rPr>
        <w:t>‎70%‎</w:t>
      </w:r>
      <w:r>
        <w:rPr>
          <w:rFonts w:ascii="Arial" w:hAnsi="Arial" w:cs="Arial" w:eastAsia="Arial"/>
          <w:color w:val="0E1E3A"/>
          <w:sz w:val="20"/>
          <w:szCs w:val="20"/>
          <w:rtl/>
        </w:rPr>
        <w:t xml:space="preserve"> وبين ما يصل إلى </w:t>
      </w:r>
      <w:r>
        <w:rPr>
          <w:rFonts w:ascii="Arial" w:hAnsi="Arial" w:cs="Arial" w:eastAsia="Arial"/>
          <w:color w:val="0E1E3A"/>
          <w:sz w:val="20"/>
          <w:szCs w:val="20"/>
        </w:rPr>
        <w:t>‎85%‎</w:t>
      </w:r>
      <w:r>
        <w:rPr>
          <w:rFonts w:ascii="Arial" w:hAnsi="Arial" w:cs="Arial" w:eastAsia="Arial"/>
          <w:color w:val="0E1E3A"/>
          <w:sz w:val="20"/>
          <w:szCs w:val="20"/>
          <w:rtl/>
        </w:rPr>
        <w:t xml:space="preserve"> من حجم قيم السوق مجتمعة، وتمثل شريحة الشركات صغيرة حجم القيمة السوقية ما يتراوح بين أكثر من </w:t>
      </w:r>
      <w:r>
        <w:rPr>
          <w:rFonts w:ascii="Arial" w:hAnsi="Arial" w:cs="Arial" w:eastAsia="Arial"/>
          <w:color w:val="0E1E3A"/>
          <w:sz w:val="20"/>
          <w:szCs w:val="20"/>
        </w:rPr>
        <w:t>‎85%‎</w:t>
      </w:r>
      <w:r>
        <w:rPr>
          <w:rFonts w:ascii="Arial" w:hAnsi="Arial" w:cs="Arial" w:eastAsia="Arial"/>
          <w:color w:val="0E1E3A"/>
          <w:sz w:val="20"/>
          <w:szCs w:val="20"/>
          <w:rtl/>
        </w:rPr>
        <w:t xml:space="preserve">، حتى ما يصل إلى </w:t>
      </w:r>
      <w:r>
        <w:rPr>
          <w:rFonts w:ascii="Arial" w:hAnsi="Arial" w:cs="Arial" w:eastAsia="Arial"/>
          <w:color w:val="0E1E3A"/>
          <w:sz w:val="20"/>
          <w:szCs w:val="20"/>
        </w:rPr>
        <w:t>‎100%‎</w:t>
      </w:r>
      <w:r>
        <w:rPr>
          <w:rFonts w:ascii="Arial" w:hAnsi="Arial" w:cs="Arial" w:eastAsia="Arial"/>
          <w:color w:val="0E1E3A"/>
          <w:sz w:val="20"/>
          <w:szCs w:val="20"/>
          <w:rtl/>
        </w:rPr>
        <w:t xml:space="preserve"> من حجم قيم السوق مجتمعة.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1" name="Picture 9056"/>
            <wp:cNvGraphicFramePr>
              <a:graphicFrameLocks noChangeAspect="1"/>
            </wp:cNvGraphicFramePr>
            <a:graphic>
              <a:graphicData uri="http://schemas.openxmlformats.org/drawingml/2006/picture">
                <pic:pic>
                  <pic:nvPicPr>
                    <pic:cNvPr id="0" name="ico_a4c5ee8beea27f59442669cc4fdf4aa4.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قياس الأداء</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bidi w:val="1"/>
              <w:spacing w:before="0" w:after="0" w:line="264" w:lineRule="auto"/>
            </w:pP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صندوق "الخبير للنمو والدخل المتداول"</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مؤشر "الخبير للأسهم العالمية"</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بداية الفترة</w:t>
            </w:r>
          </w:p>
        </w:tc>
        <w:tc>
          <w:tcPr>
            <w:tcW w:type="dxa" w:w="3326"/>
          </w:tcPr>
          <w:p>
            <w:pPr>
              <w:bidi w:val="1"/>
              <w:spacing w:before="0" w:after="0" w:line="264" w:lineRule="auto"/>
            </w:pPr>
            <w:r>
              <w:rPr>
                <w:rFonts w:ascii="Arial" w:hAnsi="Arial" w:cs="Arial" w:eastAsia="Arial"/>
                <w:color w:val="0E1E3A"/>
                <w:sz w:val="17"/>
                <w:szCs w:val="17"/>
                <w:rtl/>
              </w:rPr>
              <w:t>11.937 5 ر.س.</w:t>
            </w:r>
          </w:p>
        </w:tc>
        <w:tc>
          <w:tcPr>
            <w:tcW w:type="dxa" w:w="3326"/>
          </w:tcPr>
          <w:p>
            <w:pPr>
              <w:bidi w:val="1"/>
              <w:spacing w:before="0" w:after="0" w:line="264" w:lineRule="auto"/>
            </w:pPr>
            <w:r>
              <w:rPr>
                <w:rFonts w:ascii="Arial" w:hAnsi="Arial" w:cs="Arial" w:eastAsia="Arial"/>
                <w:color w:val="0E1E3A"/>
                <w:sz w:val="17"/>
                <w:szCs w:val="17"/>
                <w:rtl/>
              </w:rPr>
              <w:t>123.2346</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نهاية الفترة</w:t>
            </w:r>
          </w:p>
        </w:tc>
        <w:tc>
          <w:tcPr>
            <w:tcW w:type="dxa" w:w="3326"/>
          </w:tcPr>
          <w:p>
            <w:pPr>
              <w:bidi w:val="1"/>
              <w:spacing w:before="0" w:after="0" w:line="264" w:lineRule="auto"/>
            </w:pPr>
            <w:r>
              <w:rPr>
                <w:rFonts w:ascii="Arial" w:hAnsi="Arial" w:cs="Arial" w:eastAsia="Arial"/>
                <w:color w:val="0E1E3A"/>
                <w:sz w:val="17"/>
                <w:szCs w:val="17"/>
                <w:rtl/>
              </w:rPr>
              <w:t>11.5726 رس.</w:t>
            </w:r>
          </w:p>
        </w:tc>
        <w:tc>
          <w:tcPr>
            <w:tcW w:type="dxa" w:w="3326"/>
          </w:tcPr>
          <w:p>
            <w:pPr>
              <w:bidi w:val="1"/>
              <w:spacing w:before="0" w:after="0" w:line="264" w:lineRule="auto"/>
            </w:pPr>
            <w:r>
              <w:rPr>
                <w:rFonts w:ascii="Arial" w:hAnsi="Arial" w:cs="Arial" w:eastAsia="Arial"/>
                <w:color w:val="0E1E3A"/>
                <w:sz w:val="17"/>
                <w:szCs w:val="17"/>
                <w:rtl/>
              </w:rPr>
              <w:t>118.7953</w:t>
            </w:r>
          </w:p>
        </w:tc>
      </w:tr>
      <w:tr>
        <w:tc>
          <w:tcPr>
            <w:tcW w:type="dxa" w:w="3326"/>
          </w:tcPr>
          <w:p>
            <w:pPr>
              <w:bidi w:val="1"/>
              <w:spacing w:before="0" w:after="0" w:line="264" w:lineRule="auto"/>
            </w:pPr>
            <w:r>
              <w:rPr>
                <w:rFonts w:ascii="Arial" w:hAnsi="Arial" w:cs="Arial" w:eastAsia="Arial"/>
                <w:color w:val="0E1E3A"/>
                <w:sz w:val="17"/>
                <w:szCs w:val="17"/>
                <w:rtl/>
              </w:rPr>
              <w:t>أداء الوحدة *</w:t>
            </w:r>
          </w:p>
        </w:tc>
        <w:tc>
          <w:tcPr>
            <w:tcW w:type="dxa" w:w="3326"/>
          </w:tcPr>
          <w:p>
            <w:pPr>
              <w:bidi w:val="1"/>
              <w:spacing w:before="0" w:after="0" w:line="264" w:lineRule="auto"/>
            </w:pPr>
            <w:r>
              <w:rPr>
                <w:rFonts w:ascii="Arial" w:hAnsi="Arial" w:cs="Arial" w:eastAsia="Arial"/>
                <w:color w:val="0E1E3A"/>
                <w:sz w:val="17"/>
                <w:szCs w:val="17"/>
              </w:rPr>
              <w:t>‎-3.06%‎</w:t>
            </w:r>
          </w:p>
        </w:tc>
        <w:tc>
          <w:tcPr>
            <w:tcW w:type="dxa" w:w="3326"/>
          </w:tcPr>
          <w:p>
            <w:pPr>
              <w:bidi w:val="1"/>
              <w:spacing w:before="0" w:after="0" w:line="264" w:lineRule="auto"/>
            </w:pPr>
            <w:r>
              <w:rPr>
                <w:rFonts w:ascii="Arial" w:hAnsi="Arial" w:cs="Arial" w:eastAsia="Arial"/>
                <w:color w:val="0E1E3A"/>
                <w:sz w:val="17"/>
                <w:szCs w:val="17"/>
              </w:rPr>
              <w:t>‎-3.60%‎</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أداء صافي قيمة الوحدة والتي لا تشمل توزيع الأرباح للفترة المحددة.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2" name="Picture 905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ملكية استثمارات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الملكية</w:t>
            </w:r>
          </w:p>
        </w:tc>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النسبة (%)</w:t>
            </w:r>
          </w:p>
        </w:tc>
      </w:tr>
      <w:tr>
        <w:tc>
          <w:tcPr>
            <w:tcW w:type="dxa" w:w="4989"/>
          </w:tcPr>
          <w:p>
            <w:pPr>
              <w:bidi w:val="1"/>
              <w:spacing w:before="0" w:after="0" w:line="264" w:lineRule="auto"/>
            </w:pPr>
            <w:r>
              <w:rPr>
                <w:rFonts w:ascii="Arial" w:hAnsi="Arial" w:cs="Arial" w:eastAsia="Arial"/>
                <w:color w:val="0E1E3A"/>
                <w:sz w:val="17"/>
                <w:szCs w:val="17"/>
                <w:rtl/>
              </w:rPr>
              <w:t>ملكية تامة</w:t>
            </w:r>
          </w:p>
        </w:tc>
        <w:tc>
          <w:tcPr>
            <w:tcW w:type="dxa" w:w="4989"/>
          </w:tcPr>
          <w:p>
            <w:pPr>
              <w:bidi w:val="1"/>
              <w:spacing w:before="0" w:after="0" w:line="264" w:lineRule="auto"/>
            </w:pPr>
            <w:r>
              <w:rPr>
                <w:rFonts w:ascii="Arial" w:hAnsi="Arial" w:cs="Arial" w:eastAsia="Arial"/>
                <w:color w:val="0E1E3A"/>
                <w:sz w:val="17"/>
                <w:szCs w:val="17"/>
              </w:rPr>
              <w:t>‎100%‎</w:t>
            </w:r>
          </w:p>
        </w:tc>
      </w:tr>
      <w:tr>
        <w:tc>
          <w:tcPr>
            <w:tcW w:type="dxa" w:w="4989"/>
          </w:tcPr>
          <w:p>
            <w:pPr>
              <w:bidi w:val="1"/>
              <w:spacing w:before="0" w:after="0" w:line="264" w:lineRule="auto"/>
            </w:pPr>
            <w:r>
              <w:rPr>
                <w:rFonts w:ascii="Arial" w:hAnsi="Arial" w:cs="Arial" w:eastAsia="Arial"/>
                <w:color w:val="0E1E3A"/>
                <w:sz w:val="17"/>
                <w:szCs w:val="17"/>
                <w:rtl/>
              </w:rPr>
              <w:t>حق منفعة</w:t>
            </w:r>
          </w:p>
        </w:tc>
        <w:tc>
          <w:tcPr>
            <w:tcW w:type="dxa" w:w="4989"/>
          </w:tcPr>
          <w:p>
            <w:pPr>
              <w:bidi w:val="1"/>
              <w:spacing w:before="0" w:after="0" w:line="264" w:lineRule="auto"/>
            </w:pPr>
            <w:r>
              <w:rPr>
                <w:rFonts w:ascii="Arial" w:hAnsi="Arial" w:cs="Arial" w:eastAsia="Arial"/>
                <w:color w:val="0E1E3A"/>
                <w:sz w:val="17"/>
                <w:szCs w:val="17"/>
              </w:rPr>
              <w:t>‎0%‎</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3" name="Picture 9058"/>
            <wp:cNvGraphicFramePr>
              <a:graphicFrameLocks noChangeAspect="1"/>
            </wp:cNvGraphicFramePr>
            <a:graphic>
              <a:graphicData uri="http://schemas.openxmlformats.org/drawingml/2006/picture">
                <pic:pic>
                  <pic:nvPicPr>
                    <pic:cNvPr id="0" name="ico_a4c5ee8beea27f59442669cc4fdf4aa4.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العوائد</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للربع المعني</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(YTD) **</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 ***</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العائد الكلي لصافي قيمة الوحدة "أداء الصندوق" *</w:t>
            </w:r>
          </w:p>
        </w:tc>
        <w:tc>
          <w:tcPr>
            <w:tcW w:type="dxa" w:w="1663"/>
          </w:tcPr>
          <w:p>
            <w:pPr>
              <w:bidi w:val="1"/>
              <w:spacing w:before="0" w:after="0" w:line="264" w:lineRule="auto"/>
            </w:pPr>
            <w:r>
              <w:rPr>
                <w:rFonts w:ascii="Arial" w:hAnsi="Arial" w:cs="Arial" w:eastAsia="Arial"/>
                <w:color w:val="0E1E3A"/>
                <w:sz w:val="17"/>
                <w:szCs w:val="17"/>
              </w:rPr>
              <w:t>‎-3.06%‎</w:t>
            </w:r>
          </w:p>
        </w:tc>
        <w:tc>
          <w:tcPr>
            <w:tcW w:type="dxa" w:w="1663"/>
          </w:tcPr>
          <w:p>
            <w:pPr>
              <w:bidi w:val="1"/>
              <w:spacing w:before="0" w:after="0" w:line="264" w:lineRule="auto"/>
            </w:pPr>
            <w:r>
              <w:rPr>
                <w:rFonts w:ascii="Arial" w:hAnsi="Arial" w:cs="Arial" w:eastAsia="Arial"/>
                <w:color w:val="0E1E3A"/>
                <w:sz w:val="17"/>
                <w:szCs w:val="17"/>
              </w:rPr>
              <w:t>‎11.85%‎</w:t>
            </w:r>
          </w:p>
        </w:tc>
        <w:tc>
          <w:tcPr>
            <w:tcW w:type="dxa" w:w="1663"/>
          </w:tcPr>
          <w:p>
            <w:pPr>
              <w:bidi w:val="1"/>
              <w:spacing w:before="0" w:after="0" w:line="264" w:lineRule="auto"/>
            </w:pPr>
            <w:r>
              <w:rPr>
                <w:rFonts w:ascii="Arial" w:hAnsi="Arial" w:cs="Arial" w:eastAsia="Arial"/>
                <w:color w:val="0E1E3A"/>
                <w:sz w:val="17"/>
                <w:szCs w:val="17"/>
              </w:rPr>
              <w:t>‎11.85%‎</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أداء المؤشر الاسترشادي</w:t>
            </w:r>
          </w:p>
        </w:tc>
        <w:tc>
          <w:tcPr>
            <w:tcW w:type="dxa" w:w="1663"/>
          </w:tcPr>
          <w:p>
            <w:pPr>
              <w:bidi w:val="1"/>
              <w:spacing w:before="0" w:after="0" w:line="264" w:lineRule="auto"/>
            </w:pPr>
            <w:r>
              <w:rPr>
                <w:rFonts w:ascii="Arial" w:hAnsi="Arial" w:cs="Arial" w:eastAsia="Arial"/>
                <w:color w:val="0E1E3A"/>
                <w:sz w:val="17"/>
                <w:szCs w:val="17"/>
              </w:rPr>
              <w:t>‎-3.60%‎</w:t>
            </w:r>
          </w:p>
        </w:tc>
        <w:tc>
          <w:tcPr>
            <w:tcW w:type="dxa" w:w="1663"/>
          </w:tcPr>
          <w:p>
            <w:pPr>
              <w:bidi w:val="1"/>
              <w:spacing w:before="0" w:after="0" w:line="264" w:lineRule="auto"/>
            </w:pPr>
            <w:r>
              <w:rPr>
                <w:rFonts w:ascii="Arial" w:hAnsi="Arial" w:cs="Arial" w:eastAsia="Arial"/>
                <w:color w:val="0E1E3A"/>
                <w:sz w:val="17"/>
                <w:szCs w:val="17"/>
              </w:rPr>
              <w:t>‎11.01%‎</w:t>
            </w:r>
          </w:p>
        </w:tc>
        <w:tc>
          <w:tcPr>
            <w:tcW w:type="dxa" w:w="1663"/>
          </w:tcPr>
          <w:p>
            <w:pPr>
              <w:bidi w:val="1"/>
              <w:spacing w:before="0" w:after="0" w:line="264" w:lineRule="auto"/>
            </w:pPr>
            <w:r>
              <w:rPr>
                <w:rFonts w:ascii="Arial" w:hAnsi="Arial" w:cs="Arial" w:eastAsia="Arial"/>
                <w:color w:val="0E1E3A"/>
                <w:sz w:val="17"/>
                <w:szCs w:val="17"/>
              </w:rPr>
              <w:t>‎11.01%‎</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فارق الأداء</w:t>
            </w:r>
          </w:p>
        </w:tc>
        <w:tc>
          <w:tcPr>
            <w:tcW w:type="dxa" w:w="1663"/>
          </w:tcPr>
          <w:p>
            <w:pPr>
              <w:bidi w:val="1"/>
              <w:spacing w:before="0" w:after="0" w:line="264" w:lineRule="auto"/>
            </w:pPr>
            <w:r>
              <w:rPr>
                <w:rFonts w:ascii="Arial" w:hAnsi="Arial" w:cs="Arial" w:eastAsia="Arial"/>
                <w:color w:val="0E1E3A"/>
                <w:sz w:val="17"/>
                <w:szCs w:val="17"/>
              </w:rPr>
              <w:t>‎0.54%‎</w:t>
            </w:r>
          </w:p>
        </w:tc>
        <w:tc>
          <w:tcPr>
            <w:tcW w:type="dxa" w:w="1663"/>
          </w:tcPr>
          <w:p>
            <w:pPr>
              <w:bidi w:val="1"/>
              <w:spacing w:before="0" w:after="0" w:line="264" w:lineRule="auto"/>
            </w:pPr>
            <w:r>
              <w:rPr>
                <w:rFonts w:ascii="Arial" w:hAnsi="Arial" w:cs="Arial" w:eastAsia="Arial"/>
                <w:color w:val="0E1E3A"/>
                <w:sz w:val="17"/>
                <w:szCs w:val="17"/>
              </w:rPr>
              <w:t>‎0.84%‎</w:t>
            </w:r>
          </w:p>
        </w:tc>
        <w:tc>
          <w:tcPr>
            <w:tcW w:type="dxa" w:w="1663"/>
          </w:tcPr>
          <w:p>
            <w:pPr>
              <w:bidi w:val="1"/>
              <w:spacing w:before="0" w:after="0" w:line="264" w:lineRule="auto"/>
            </w:pPr>
            <w:r>
              <w:rPr>
                <w:rFonts w:ascii="Arial" w:hAnsi="Arial" w:cs="Arial" w:eastAsia="Arial"/>
                <w:color w:val="0E1E3A"/>
                <w:sz w:val="17"/>
                <w:szCs w:val="17"/>
              </w:rPr>
              <w:t>‎0.84%‎</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العائد الكلي = أداء صافي قيمة الوحدة بالإضافة إلى الأرباح الموزعة (تتضمن توزيع أرباح قدرها 0.60 ريال سعودي خلال الربع الثالث).</w:t>
      </w:r>
      <w:r>
        <w:br/>
      </w:r>
      <w:r>
        <w:rPr>
          <w:rFonts w:ascii="Arial" w:hAnsi="Arial" w:cs="Arial" w:eastAsia="Arial"/>
          <w:color w:val="5A6478"/>
          <w:sz w:val="17"/>
          <w:szCs w:val="17"/>
          <w:rtl/>
        </w:rPr>
        <w:t>** عن الفترة من 31 ديسمبر 2023م إلى 30 سبتمبر 2024م.</w:t>
      </w:r>
      <w:r>
        <w:br/>
      </w:r>
      <w:r>
        <w:rPr>
          <w:rFonts w:ascii="Arial" w:hAnsi="Arial" w:cs="Arial" w:eastAsia="Arial"/>
          <w:color w:val="5A6478"/>
          <w:sz w:val="17"/>
          <w:szCs w:val="17"/>
          <w:rtl/>
        </w:rPr>
        <w:t>*** عن الفترة من 28 سبتمبر 2023م إلى 30 سبتمبر 2024م متضمنة توزيعات نقدية بقيمة 1.715 رس (0.93 +0.185 +0.60).</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4" name="Picture 9059"/>
            <wp:cNvGraphicFramePr>
              <a:graphicFrameLocks noChangeAspect="1"/>
            </wp:cNvGraphicFramePr>
            <a:graphic>
              <a:graphicData uri="http://schemas.openxmlformats.org/drawingml/2006/picture">
                <pic:pic>
                  <pic:nvPicPr>
                    <pic:cNvPr id="0" name="ico_47bcec02f49b9d1a764a57a70a5c831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معايير الأداء والمخاطر</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للربع المعني</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(YTD)</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الانحراف المعياري 1</w:t>
            </w:r>
          </w:p>
        </w:tc>
        <w:tc>
          <w:tcPr>
            <w:tcW w:type="dxa" w:w="1663"/>
          </w:tcPr>
          <w:p>
            <w:pPr>
              <w:bidi w:val="1"/>
              <w:spacing w:before="0" w:after="0" w:line="264" w:lineRule="auto"/>
            </w:pPr>
            <w:r>
              <w:rPr>
                <w:rFonts w:ascii="Arial" w:hAnsi="Arial" w:cs="Arial" w:eastAsia="Arial"/>
                <w:color w:val="0E1E3A"/>
                <w:sz w:val="17"/>
                <w:szCs w:val="17"/>
                <w:rtl/>
              </w:rPr>
              <w:t>9.28</w:t>
            </w:r>
          </w:p>
        </w:tc>
        <w:tc>
          <w:tcPr>
            <w:tcW w:type="dxa" w:w="1663"/>
          </w:tcPr>
          <w:p>
            <w:pPr>
              <w:bidi w:val="1"/>
              <w:spacing w:before="0" w:after="0" w:line="264" w:lineRule="auto"/>
            </w:pPr>
            <w:r>
              <w:rPr>
                <w:rFonts w:ascii="Arial" w:hAnsi="Arial" w:cs="Arial" w:eastAsia="Arial"/>
                <w:color w:val="0E1E3A"/>
                <w:sz w:val="17"/>
                <w:szCs w:val="17"/>
                <w:rtl/>
              </w:rPr>
              <w:t>12.69</w:t>
            </w:r>
          </w:p>
        </w:tc>
        <w:tc>
          <w:tcPr>
            <w:tcW w:type="dxa" w:w="1663"/>
          </w:tcPr>
          <w:p>
            <w:pPr>
              <w:bidi w:val="1"/>
              <w:spacing w:before="0" w:after="0" w:line="264" w:lineRule="auto"/>
            </w:pPr>
            <w:r>
              <w:rPr>
                <w:rFonts w:ascii="Arial" w:hAnsi="Arial" w:cs="Arial" w:eastAsia="Arial"/>
                <w:color w:val="0E1E3A"/>
                <w:sz w:val="17"/>
                <w:szCs w:val="17"/>
                <w:rtl/>
              </w:rPr>
              <w:t>12.69</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شارب 2</w:t>
            </w:r>
          </w:p>
        </w:tc>
        <w:tc>
          <w:tcPr>
            <w:tcW w:type="dxa" w:w="1663"/>
          </w:tcPr>
          <w:p>
            <w:pPr>
              <w:bidi w:val="1"/>
              <w:spacing w:before="0" w:after="0" w:line="264" w:lineRule="auto"/>
            </w:pPr>
            <w:r>
              <w:rPr>
                <w:rFonts w:ascii="Arial" w:hAnsi="Arial" w:cs="Arial" w:eastAsia="Arial"/>
                <w:color w:val="0E1E3A"/>
                <w:sz w:val="17"/>
                <w:szCs w:val="17"/>
                <w:rtl/>
              </w:rPr>
              <w:t>(1.78)</w:t>
            </w:r>
          </w:p>
        </w:tc>
        <w:tc>
          <w:tcPr>
            <w:tcW w:type="dxa" w:w="1663"/>
          </w:tcPr>
          <w:p>
            <w:pPr>
              <w:bidi w:val="1"/>
              <w:spacing w:before="0" w:after="0" w:line="264" w:lineRule="auto"/>
            </w:pPr>
            <w:r>
              <w:rPr>
                <w:rFonts w:ascii="Arial" w:hAnsi="Arial" w:cs="Arial" w:eastAsia="Arial"/>
                <w:color w:val="0E1E3A"/>
                <w:sz w:val="17"/>
                <w:szCs w:val="17"/>
                <w:rtl/>
              </w:rPr>
              <w:t>0.54</w:t>
            </w:r>
          </w:p>
        </w:tc>
        <w:tc>
          <w:tcPr>
            <w:tcW w:type="dxa" w:w="1663"/>
          </w:tcPr>
          <w:p>
            <w:pPr>
              <w:bidi w:val="1"/>
              <w:spacing w:before="0" w:after="0" w:line="264" w:lineRule="auto"/>
            </w:pPr>
            <w:r>
              <w:rPr>
                <w:rFonts w:ascii="Arial" w:hAnsi="Arial" w:cs="Arial" w:eastAsia="Arial"/>
                <w:color w:val="0E1E3A"/>
                <w:sz w:val="17"/>
                <w:szCs w:val="17"/>
                <w:rtl/>
              </w:rPr>
              <w:t>0.54</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خطأ التتبع 3</w:t>
            </w:r>
          </w:p>
        </w:tc>
        <w:tc>
          <w:tcPr>
            <w:tcW w:type="dxa" w:w="1663"/>
          </w:tcPr>
          <w:p>
            <w:pPr>
              <w:bidi w:val="1"/>
              <w:spacing w:before="0" w:after="0" w:line="264" w:lineRule="auto"/>
            </w:pPr>
            <w:r>
              <w:rPr>
                <w:rFonts w:ascii="Arial" w:hAnsi="Arial" w:cs="Arial" w:eastAsia="Arial"/>
                <w:color w:val="0E1E3A"/>
                <w:sz w:val="17"/>
                <w:szCs w:val="17"/>
                <w:rtl/>
              </w:rPr>
              <w:t>1.55</w:t>
            </w:r>
          </w:p>
        </w:tc>
        <w:tc>
          <w:tcPr>
            <w:tcW w:type="dxa" w:w="1663"/>
          </w:tcPr>
          <w:p>
            <w:pPr>
              <w:bidi w:val="1"/>
              <w:spacing w:before="0" w:after="0" w:line="264" w:lineRule="auto"/>
            </w:pPr>
            <w:r>
              <w:rPr>
                <w:rFonts w:ascii="Arial" w:hAnsi="Arial" w:cs="Arial" w:eastAsia="Arial"/>
                <w:color w:val="0E1E3A"/>
                <w:sz w:val="17"/>
                <w:szCs w:val="17"/>
                <w:rtl/>
              </w:rPr>
              <w:t>8.39</w:t>
            </w:r>
          </w:p>
        </w:tc>
        <w:tc>
          <w:tcPr>
            <w:tcW w:type="dxa" w:w="1663"/>
          </w:tcPr>
          <w:p>
            <w:pPr>
              <w:bidi w:val="1"/>
              <w:spacing w:before="0" w:after="0" w:line="264" w:lineRule="auto"/>
            </w:pPr>
            <w:r>
              <w:rPr>
                <w:rFonts w:ascii="Arial" w:hAnsi="Arial" w:cs="Arial" w:eastAsia="Arial"/>
                <w:color w:val="0E1E3A"/>
                <w:sz w:val="17"/>
                <w:szCs w:val="17"/>
                <w:rtl/>
              </w:rPr>
              <w:t>8.39</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بيتا 4</w:t>
            </w:r>
          </w:p>
        </w:tc>
        <w:tc>
          <w:tcPr>
            <w:tcW w:type="dxa" w:w="1663"/>
          </w:tcPr>
          <w:p>
            <w:pPr>
              <w:bidi w:val="1"/>
              <w:spacing w:before="0" w:after="0" w:line="264" w:lineRule="auto"/>
            </w:pPr>
            <w:r>
              <w:rPr>
                <w:rFonts w:ascii="Arial" w:hAnsi="Arial" w:cs="Arial" w:eastAsia="Arial"/>
                <w:color w:val="0E1E3A"/>
                <w:sz w:val="17"/>
                <w:szCs w:val="17"/>
                <w:rtl/>
              </w:rPr>
              <w:t>0.93</w:t>
            </w:r>
          </w:p>
        </w:tc>
        <w:tc>
          <w:tcPr>
            <w:tcW w:type="dxa" w:w="1663"/>
          </w:tcPr>
          <w:p>
            <w:pPr>
              <w:bidi w:val="1"/>
              <w:spacing w:before="0" w:after="0" w:line="264" w:lineRule="auto"/>
            </w:pPr>
            <w:r>
              <w:rPr>
                <w:rFonts w:ascii="Arial" w:hAnsi="Arial" w:cs="Arial" w:eastAsia="Arial"/>
                <w:color w:val="0E1E3A"/>
                <w:sz w:val="17"/>
                <w:szCs w:val="17"/>
                <w:rtl/>
              </w:rPr>
              <w:t>0.90</w:t>
            </w:r>
          </w:p>
        </w:tc>
        <w:tc>
          <w:tcPr>
            <w:tcW w:type="dxa" w:w="1663"/>
          </w:tcPr>
          <w:p>
            <w:pPr>
              <w:bidi w:val="1"/>
              <w:spacing w:before="0" w:after="0" w:line="264" w:lineRule="auto"/>
            </w:pPr>
            <w:r>
              <w:rPr>
                <w:rFonts w:ascii="Arial" w:hAnsi="Arial" w:cs="Arial" w:eastAsia="Arial"/>
                <w:color w:val="0E1E3A"/>
                <w:sz w:val="17"/>
                <w:szCs w:val="17"/>
                <w:rtl/>
              </w:rPr>
              <w:t>0.90</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ألفا 5</w:t>
            </w:r>
          </w:p>
        </w:tc>
        <w:tc>
          <w:tcPr>
            <w:tcW w:type="dxa" w:w="1663"/>
          </w:tcPr>
          <w:p>
            <w:pPr>
              <w:bidi w:val="1"/>
              <w:spacing w:before="0" w:after="0" w:line="264" w:lineRule="auto"/>
            </w:pPr>
            <w:r>
              <w:rPr>
                <w:rFonts w:ascii="Arial" w:hAnsi="Arial" w:cs="Arial" w:eastAsia="Arial"/>
                <w:color w:val="0E1E3A"/>
                <w:sz w:val="17"/>
                <w:szCs w:val="17"/>
              </w:rPr>
              <w:t>‎1.95%‎</w:t>
            </w:r>
          </w:p>
        </w:tc>
        <w:tc>
          <w:tcPr>
            <w:tcW w:type="dxa" w:w="1663"/>
          </w:tcPr>
          <w:p>
            <w:pPr>
              <w:bidi w:val="1"/>
              <w:spacing w:before="0" w:after="0" w:line="264" w:lineRule="auto"/>
            </w:pPr>
            <w:r>
              <w:rPr>
                <w:rFonts w:ascii="Arial" w:hAnsi="Arial" w:cs="Arial" w:eastAsia="Arial"/>
                <w:color w:val="0E1E3A"/>
                <w:sz w:val="17"/>
                <w:szCs w:val="17"/>
              </w:rPr>
              <w:t>‎0.92%‎</w:t>
            </w:r>
          </w:p>
        </w:tc>
        <w:tc>
          <w:tcPr>
            <w:tcW w:type="dxa" w:w="1663"/>
          </w:tcPr>
          <w:p>
            <w:pPr>
              <w:bidi w:val="1"/>
              <w:spacing w:before="0" w:after="0" w:line="264" w:lineRule="auto"/>
            </w:pPr>
            <w:r>
              <w:rPr>
                <w:rFonts w:ascii="Arial" w:hAnsi="Arial" w:cs="Arial" w:eastAsia="Arial"/>
                <w:color w:val="0E1E3A"/>
                <w:sz w:val="17"/>
                <w:szCs w:val="17"/>
              </w:rPr>
              <w:t>‎0.92%‎</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المعلومات 6</w:t>
            </w:r>
          </w:p>
        </w:tc>
        <w:tc>
          <w:tcPr>
            <w:tcW w:type="dxa" w:w="1663"/>
          </w:tcPr>
          <w:p>
            <w:pPr>
              <w:bidi w:val="1"/>
              <w:spacing w:before="0" w:after="0" w:line="264" w:lineRule="auto"/>
            </w:pPr>
            <w:r>
              <w:rPr>
                <w:rFonts w:ascii="Arial" w:hAnsi="Arial" w:cs="Arial" w:eastAsia="Arial"/>
                <w:color w:val="0E1E3A"/>
                <w:sz w:val="17"/>
                <w:szCs w:val="17"/>
                <w:rtl/>
              </w:rPr>
              <w:t>1.26</w:t>
            </w:r>
          </w:p>
        </w:tc>
        <w:tc>
          <w:tcPr>
            <w:tcW w:type="dxa" w:w="1663"/>
          </w:tcPr>
          <w:p>
            <w:pPr>
              <w:bidi w:val="1"/>
              <w:spacing w:before="0" w:after="0" w:line="264" w:lineRule="auto"/>
            </w:pPr>
            <w:r>
              <w:rPr>
                <w:rFonts w:ascii="Arial" w:hAnsi="Arial" w:cs="Arial" w:eastAsia="Arial"/>
                <w:color w:val="0E1E3A"/>
                <w:sz w:val="17"/>
                <w:szCs w:val="17"/>
                <w:rtl/>
              </w:rPr>
              <w:t>0.11</w:t>
            </w:r>
          </w:p>
        </w:tc>
        <w:tc>
          <w:tcPr>
            <w:tcW w:type="dxa" w:w="1663"/>
          </w:tcPr>
          <w:p>
            <w:pPr>
              <w:bidi w:val="1"/>
              <w:spacing w:before="0" w:after="0" w:line="264" w:lineRule="auto"/>
            </w:pPr>
            <w:r>
              <w:rPr>
                <w:rFonts w:ascii="Arial" w:hAnsi="Arial" w:cs="Arial" w:eastAsia="Arial"/>
                <w:color w:val="0E1E3A"/>
                <w:sz w:val="17"/>
                <w:szCs w:val="17"/>
                <w:rtl/>
              </w:rPr>
              <w:t>0.11</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1 الانحراف المعياري هو مقياس للمخاطر، ويتم حسابه على أنه التذبذب بين العوائد على مدى فترة زمنية. وكلما انخفض التقلب، كانت مجموعة العوائد أكثر تجانسا.</w:t>
      </w:r>
      <w:r>
        <w:br/>
      </w:r>
      <w:r>
        <w:rPr>
          <w:rFonts w:ascii="Arial" w:hAnsi="Arial" w:cs="Arial" w:eastAsia="Arial"/>
          <w:color w:val="5A6478"/>
          <w:sz w:val="17"/>
          <w:szCs w:val="17"/>
          <w:rtl/>
        </w:rPr>
        <w:t>2 مؤشر شارب هو مقياس أداء معدل المخاطر، ويتم حسابه على أنه الفرق كعائد فائض لمدير الصندوق على المعدل الخالي من المخاطر، مقسوما على الانحراف المعياري. كلما زاد معدل شارب للمحفظة، كلما كان أداؤه حسب المخاطر أفضل.</w:t>
      </w:r>
      <w:r>
        <w:br/>
      </w:r>
      <w:r>
        <w:rPr>
          <w:rFonts w:ascii="Arial" w:hAnsi="Arial" w:cs="Arial" w:eastAsia="Arial"/>
          <w:color w:val="5A6478"/>
          <w:sz w:val="17"/>
          <w:szCs w:val="17"/>
          <w:rtl/>
        </w:rPr>
        <w:t>3 خطأ التتبع هو مقياس للمخاطر ويتم حسابه على أنه الانحراف المعياري بين عائد مدير الصندوق وعائد المؤشر. وكلما انخفض خطأ التتبع، كلما انحرف مدير الصندوق عن المؤشر.</w:t>
      </w:r>
      <w:r>
        <w:br/>
      </w:r>
      <w:r>
        <w:rPr>
          <w:rFonts w:ascii="Arial" w:hAnsi="Arial" w:cs="Arial" w:eastAsia="Arial"/>
          <w:color w:val="5A6478"/>
          <w:sz w:val="17"/>
          <w:szCs w:val="17"/>
          <w:rtl/>
        </w:rPr>
        <w:t>4 بيتا هو مقياس لمتوسط الحساسية التاريخية لعوائد الصندوق مقارنة بعوائد السوق، ويتم احتسابها عن طريق حساب تغاير سعر الوحدة ومؤشر السوق على تباين مؤشر السوق.</w:t>
      </w:r>
      <w:r>
        <w:br/>
      </w:r>
      <w:r>
        <w:rPr>
          <w:rFonts w:ascii="Arial" w:hAnsi="Arial" w:cs="Arial" w:eastAsia="Arial"/>
          <w:color w:val="5A6478"/>
          <w:sz w:val="17"/>
          <w:szCs w:val="17"/>
          <w:rtl/>
        </w:rPr>
        <w:t>5 ألفا يقيس أي تفوق حققه أداء الصندوق مقارنة بأداء المؤشر المرتبط به.</w:t>
      </w:r>
      <w:r>
        <w:br/>
      </w:r>
      <w:r>
        <w:rPr>
          <w:rFonts w:ascii="Arial" w:hAnsi="Arial" w:cs="Arial" w:eastAsia="Arial"/>
          <w:color w:val="5A6478"/>
          <w:sz w:val="17"/>
          <w:szCs w:val="17"/>
          <w:rtl/>
        </w:rPr>
        <w:t>6 مؤشر المعلومات هو عبارة عن مقياس أداء معدل المخاطر ويتم حسابه على أنه العائد النشط لمدير الصندوق مقسوما على خطأ التتبع الخاص به. و كلما ارتفع معدل المعلومات، كلما ازدادت قدرة مدير الصندوق على تحقيق عوائد زائدة لكل وحدة من المخاطر الزائدة.</w:t>
      </w:r>
      <w:r>
        <w:br/>
      </w:r>
      <w:r>
        <w:rPr>
          <w:rFonts w:ascii="Arial" w:hAnsi="Arial" w:cs="Arial" w:eastAsia="Arial"/>
          <w:color w:val="5A6478"/>
          <w:sz w:val="17"/>
          <w:szCs w:val="17"/>
          <w:rtl/>
        </w:rPr>
        <w:t>تم احتساب معايير الأداء والمخاطر بناء على صافي قيمة الوحدة.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5" name="Picture 9060"/>
            <wp:cNvGraphicFramePr>
              <a:graphicFrameLocks noChangeAspect="1"/>
            </wp:cNvGraphicFramePr>
            <a:graphic>
              <a:graphicData uri="http://schemas.openxmlformats.org/drawingml/2006/picture">
                <pic:pic>
                  <pic:nvPicPr>
                    <pic:cNvPr id="0" name="ico_c788ceab6c6867ef93d8dd6b26beef99.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مستجدات الصندوق وأية تغيرات أساسية أو غير أساسية تؤثر على عمل الصندوق</w:t>
      </w:r>
    </w:p>
    <w:p>
      <w:pPr>
        <w:bidi w:val="1"/>
        <w:spacing w:before="0" w:after="80" w:line="312" w:lineRule="auto"/>
      </w:pPr>
      <w:r>
        <w:rPr>
          <w:rFonts w:ascii="Arial" w:hAnsi="Arial" w:cs="Arial" w:eastAsia="Arial"/>
          <w:color w:val="0E1E3A"/>
          <w:sz w:val="20"/>
          <w:szCs w:val="20"/>
          <w:rtl/>
        </w:rPr>
        <w:t xml:space="preserve">اعتبارا من 29 أغسطس 2024م، وافق حاملو الوحدات على إعادة شراء ما يصل إلى 20 مليون وحدة، أو ما يعادل </w:t>
      </w:r>
      <w:r>
        <w:rPr>
          <w:rFonts w:ascii="Arial" w:hAnsi="Arial" w:cs="Arial" w:eastAsia="Arial"/>
          <w:color w:val="0E1E3A"/>
          <w:sz w:val="20"/>
          <w:szCs w:val="20"/>
        </w:rPr>
        <w:t>‎20%‎</w:t>
      </w:r>
      <w:r>
        <w:rPr>
          <w:rFonts w:ascii="Arial" w:hAnsi="Arial" w:cs="Arial" w:eastAsia="Arial"/>
          <w:color w:val="0E1E3A"/>
          <w:sz w:val="20"/>
          <w:szCs w:val="20"/>
          <w:rtl/>
        </w:rPr>
        <w:t xml:space="preserve"> من إجمالي عدد وحدات الصندوق عند الطرح، وذلك خلال فترة زمنية مدتها 12 شهرا. كما تمت الموافقة على تعديل سياسة توزيع الأرباح، ومنح مدير الصندوق الحق في تعيين صانع سوق. هذا و يعمل حاليا مدير الصندوق على الحصول على موافقة هيئة السوق المالية على هذه التغييرات.</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6" name="Picture 906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نظرة على الأسواق العالمية</w:t>
      </w:r>
    </w:p>
    <w:p>
      <w:pPr>
        <w:bidi w:val="1"/>
        <w:spacing w:before="0" w:after="80" w:line="312" w:lineRule="auto"/>
      </w:pPr>
      <w:r>
        <w:rPr>
          <w:rFonts w:ascii="Arial" w:hAnsi="Arial" w:cs="Arial" w:eastAsia="Arial"/>
          <w:color w:val="0E1E3A"/>
          <w:sz w:val="20"/>
          <w:szCs w:val="20"/>
          <w:rtl/>
        </w:rPr>
        <w:t>في الربع الرابع من العام 2024م، شهدت أسواق الأسهم العالمية بعض التقلبات نتيجة الانتخابات الأمريكية، والمخاوف الجيوسياسية، واستمرار التضخم، ومخاوف تباطؤ النمو التي أثرت على الأسواق. ومع ذلك، ساعد كل من الإنفاق الاستهلاكي القوي، وخفض الفيدرالي الأمريكي لأسعار الفائدة بمقدار 75 نقطة أساس، والنمو القوي لأرباح الشركات على استقرار الأسواق.</w:t>
      </w:r>
    </w:p>
    <w:p>
      <w:pPr>
        <w:bidi w:val="1"/>
        <w:spacing w:before="0" w:after="80" w:line="312" w:lineRule="auto"/>
      </w:pPr>
      <w:r>
        <w:rPr>
          <w:rFonts w:ascii="Arial" w:hAnsi="Arial" w:cs="Arial" w:eastAsia="Arial"/>
          <w:color w:val="0E1E3A"/>
          <w:sz w:val="20"/>
          <w:szCs w:val="20"/>
          <w:rtl/>
        </w:rPr>
        <w:t xml:space="preserve">وخلال الربع الرابع من العام 2024م، انخفض مؤشر "الخبير للأسهم العالمية" بنسبة </w:t>
      </w:r>
      <w:r>
        <w:rPr>
          <w:rFonts w:ascii="Arial" w:hAnsi="Arial" w:cs="Arial" w:eastAsia="Arial"/>
          <w:color w:val="0E1E3A"/>
          <w:sz w:val="20"/>
          <w:szCs w:val="20"/>
        </w:rPr>
        <w:t>‎3.60%‎</w:t>
      </w:r>
      <w:r>
        <w:rPr>
          <w:rFonts w:ascii="Arial" w:hAnsi="Arial" w:cs="Arial" w:eastAsia="Arial"/>
          <w:color w:val="0E1E3A"/>
          <w:sz w:val="20"/>
          <w:szCs w:val="20"/>
          <w:rtl/>
        </w:rPr>
        <w:t xml:space="preserve">، بينما سجل ارتفاعا بنسبة </w:t>
      </w:r>
      <w:r>
        <w:rPr>
          <w:rFonts w:ascii="Arial" w:hAnsi="Arial" w:cs="Arial" w:eastAsia="Arial"/>
          <w:color w:val="0E1E3A"/>
          <w:sz w:val="20"/>
          <w:szCs w:val="20"/>
        </w:rPr>
        <w:t>‎11.01%‎</w:t>
      </w:r>
      <w:r>
        <w:rPr>
          <w:rFonts w:ascii="Arial" w:hAnsi="Arial" w:cs="Arial" w:eastAsia="Arial"/>
          <w:color w:val="0E1E3A"/>
          <w:sz w:val="20"/>
          <w:szCs w:val="20"/>
          <w:rtl/>
        </w:rPr>
        <w:t xml:space="preserve"> منذ بداية العام حتى تاريخه (YTD).</w:t>
      </w:r>
    </w:p>
    <w:p>
      <w:pPr>
        <w:bidi w:val="1"/>
        <w:spacing w:before="0" w:after="80" w:line="312" w:lineRule="auto"/>
      </w:pPr>
      <w:r>
        <w:rPr>
          <w:rFonts w:ascii="Arial" w:hAnsi="Arial" w:cs="Arial" w:eastAsia="Arial"/>
          <w:color w:val="0E1E3A"/>
          <w:sz w:val="20"/>
          <w:szCs w:val="20"/>
          <w:rtl/>
        </w:rPr>
        <w:t>حافظ السوق الأمريكي على متانته بدعم من أرباح قوية، وإنفاق استهلاكي مرتفع، وخفض أسعار الفائدة من قبل الفيدرالي الأمريكي. في المقابل، واجهت الأسواق الأوروبية والناشئة ضغوطا بسبب المؤشرات الاقتصادية الضعيفة وتقلبات العملات. وفي الوقت نفسه، أعلنت الصين عن حزمة تحفيزية كبيرة لدعم نموها الاقتصادي.</w:t>
      </w:r>
    </w:p>
    <w:p>
      <w:pPr>
        <w:bidi w:val="1"/>
        <w:spacing w:before="0" w:after="80" w:line="312" w:lineRule="auto"/>
      </w:pPr>
      <w:r>
        <w:rPr>
          <w:rFonts w:ascii="Arial" w:hAnsi="Arial" w:cs="Arial" w:eastAsia="Arial"/>
          <w:color w:val="0E1E3A"/>
          <w:sz w:val="20"/>
          <w:szCs w:val="20"/>
          <w:rtl/>
        </w:rPr>
        <w:t xml:space="preserve">وفقا لأحدث تقرير للتوقعات الاقتصادية العالمية الصادر عن صندوق النقد الدولي، يتوقع أن ينمو الناتج المحلي الإجمالي العالمي للعام 2025م بنسبة </w:t>
      </w:r>
      <w:r>
        <w:rPr>
          <w:rFonts w:ascii="Arial" w:hAnsi="Arial" w:cs="Arial" w:eastAsia="Arial"/>
          <w:color w:val="0E1E3A"/>
          <w:sz w:val="20"/>
          <w:szCs w:val="20"/>
        </w:rPr>
        <w:t>‎3.2%‎</w:t>
      </w:r>
      <w:r>
        <w:rPr>
          <w:rFonts w:ascii="Arial" w:hAnsi="Arial" w:cs="Arial" w:eastAsia="Arial"/>
          <w:color w:val="0E1E3A"/>
          <w:sz w:val="20"/>
          <w:szCs w:val="20"/>
          <w:rtl/>
        </w:rPr>
        <w:t xml:space="preserve">، مع نمو الاقتصادات المتقدمة بنسبة </w:t>
      </w:r>
      <w:r>
        <w:rPr>
          <w:rFonts w:ascii="Arial" w:hAnsi="Arial" w:cs="Arial" w:eastAsia="Arial"/>
          <w:color w:val="0E1E3A"/>
          <w:sz w:val="20"/>
          <w:szCs w:val="20"/>
        </w:rPr>
        <w:t>‎1.8%‎</w:t>
      </w:r>
      <w:r>
        <w:rPr>
          <w:rFonts w:ascii="Arial" w:hAnsi="Arial" w:cs="Arial" w:eastAsia="Arial"/>
          <w:color w:val="0E1E3A"/>
          <w:sz w:val="20"/>
          <w:szCs w:val="20"/>
          <w:rtl/>
        </w:rPr>
        <w:t xml:space="preserve">، والأسواق الناشئة بنسبة </w:t>
      </w:r>
      <w:r>
        <w:rPr>
          <w:rFonts w:ascii="Arial" w:hAnsi="Arial" w:cs="Arial" w:eastAsia="Arial"/>
          <w:color w:val="0E1E3A"/>
          <w:sz w:val="20"/>
          <w:szCs w:val="20"/>
        </w:rPr>
        <w:t>‎4.2%‎</w:t>
      </w:r>
      <w:r>
        <w:rPr>
          <w:rFonts w:ascii="Arial" w:hAnsi="Arial" w:cs="Arial" w:eastAsia="Arial"/>
          <w:color w:val="0E1E3A"/>
          <w:sz w:val="20"/>
          <w:szCs w:val="20"/>
          <w:rtl/>
        </w:rPr>
        <w:t xml:space="preserve"> خلال العام 2025م.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7" name="Picture 906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صافي قيمة الوحدة للصندوق مقارنة مع المؤشر الاسترشادي منذ بداية الصندوق</w:t>
      </w:r>
    </w:p>
    <w:p>
      <w:pPr>
        <w:bidi w:val="1"/>
        <w:spacing w:before="0" w:after="80" w:line="240" w:lineRule="auto"/>
        <w:jc w:val="center"/>
      </w:pPr>
      <w:r>
        <w:drawing>
          <wp:inline xmlns:a="http://schemas.openxmlformats.org/drawingml/2006/main" xmlns:pic="http://schemas.openxmlformats.org/drawingml/2006/picture">
            <wp:extent cx="6336000" cy="3187027"/>
            <wp:docPr id="28" name="Picture 9063"/>
            <wp:cNvGraphicFramePr>
              <a:graphicFrameLocks noChangeAspect="1"/>
            </wp:cNvGraphicFramePr>
            <a:graphic>
              <a:graphicData uri="http://schemas.openxmlformats.org/drawingml/2006/picture">
                <pic:pic>
                  <pic:nvPicPr>
                    <pic:cNvPr id="0" name="x7.j.jpg"/>
                    <pic:cNvPicPr/>
                  </pic:nvPicPr>
                  <pic:blipFill>
                    <a:blip r:embed="rId25"/>
                    <a:stretch>
                      <a:fillRect/>
                    </a:stretch>
                  </pic:blipFill>
                  <pic:spPr>
                    <a:xfrm>
                      <a:off x="0" y="0"/>
                      <a:ext cx="6336000" cy="3187027"/>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كما في تاريخ 31 ديسمبر 2024م.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9" name="Picture 9064"/>
            <wp:cNvGraphicFramePr>
              <a:graphicFrameLocks noChangeAspect="1"/>
            </wp:cNvGraphicFramePr>
            <a:graphic>
              <a:graphicData uri="http://schemas.openxmlformats.org/drawingml/2006/picture">
                <pic:pic>
                  <pic:nvPicPr>
                    <pic:cNvPr id="0" name="ico_8eba3796ad497c7a142d47da7c90fea0.png"/>
                    <pic:cNvPicPr/>
                  </pic:nvPicPr>
                  <pic:blipFill>
                    <a:blip r:embed="rId2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للحصول على المزيد من المعلومات</w:t>
      </w:r>
    </w:p>
    <w:p>
      <w:pPr>
        <w:bidi w:val="1"/>
        <w:spacing w:before="0" w:after="80" w:line="312" w:lineRule="auto"/>
      </w:pPr>
      <w:r>
        <w:rPr>
          <w:rFonts w:ascii="Arial" w:hAnsi="Arial" w:cs="Arial" w:eastAsia="Arial"/>
          <w:color w:val="0E1E3A"/>
          <w:sz w:val="20"/>
          <w:szCs w:val="20"/>
          <w:rtl/>
        </w:rPr>
        <w:t>شركة الخبير المالية</w:t>
      </w:r>
      <w:r>
        <w:br/>
      </w:r>
      <w:r>
        <w:rPr>
          <w:rFonts w:ascii="Arial" w:hAnsi="Arial" w:cs="Arial" w:eastAsia="Arial"/>
          <w:color w:val="0E1E3A"/>
          <w:sz w:val="20"/>
          <w:szCs w:val="20"/>
          <w:rtl/>
        </w:rPr>
        <w:t>ص.ب 128289 جدة 21362</w:t>
      </w:r>
      <w:r>
        <w:br/>
      </w:r>
      <w:r>
        <w:rPr>
          <w:rFonts w:ascii="Arial" w:hAnsi="Arial" w:cs="Arial" w:eastAsia="Arial"/>
          <w:color w:val="0E1E3A"/>
          <w:sz w:val="20"/>
          <w:szCs w:val="20"/>
          <w:rtl/>
        </w:rPr>
        <w:t>المملكة العربية السعودية</w:t>
      </w:r>
      <w:r>
        <w:br/>
      </w:r>
      <w:r>
        <w:rPr>
          <w:rFonts w:ascii="Arial" w:hAnsi="Arial" w:cs="Arial" w:eastAsia="Arial"/>
          <w:color w:val="0E1E3A"/>
          <w:sz w:val="20"/>
          <w:szCs w:val="20"/>
          <w:rtl/>
        </w:rPr>
        <w:t xml:space="preserve">هاتف: </w:t>
      </w:r>
      <w:r>
        <w:rPr>
          <w:rFonts w:ascii="Arial" w:hAnsi="Arial" w:cs="Arial" w:eastAsia="Arial"/>
          <w:color w:val="0E1E3A"/>
          <w:sz w:val="20"/>
          <w:szCs w:val="20"/>
        </w:rPr>
        <w:t>‎+966 12 658 8888‎</w:t>
      </w:r>
      <w:r>
        <w:br/>
      </w:r>
      <w:r>
        <w:rPr>
          <w:rFonts w:ascii="Arial" w:hAnsi="Arial" w:cs="Arial" w:eastAsia="Arial"/>
          <w:color w:val="0E1E3A"/>
          <w:sz w:val="20"/>
          <w:szCs w:val="20"/>
          <w:rtl/>
        </w:rPr>
        <w:t xml:space="preserve">فاكس: </w:t>
      </w:r>
      <w:r>
        <w:rPr>
          <w:rFonts w:ascii="Arial" w:hAnsi="Arial" w:cs="Arial" w:eastAsia="Arial"/>
          <w:color w:val="0E1E3A"/>
          <w:sz w:val="20"/>
          <w:szCs w:val="20"/>
        </w:rPr>
        <w:t>‎+966 12 658 6663‎</w:t>
      </w:r>
      <w:r>
        <w:br/>
      </w:r>
      <w:r>
        <w:rPr>
          <w:rFonts w:ascii="Arial" w:hAnsi="Arial" w:cs="Arial" w:eastAsia="Arial"/>
          <w:color w:val="0E1E3A"/>
          <w:sz w:val="20"/>
          <w:szCs w:val="20"/>
          <w:rtl/>
        </w:rPr>
        <w:t>البريد الإلكتروني: info@alkhabeer.com</w:t>
      </w:r>
      <w:r>
        <w:br/>
      </w:r>
      <w:r>
        <w:rPr>
          <w:rFonts w:ascii="Arial" w:hAnsi="Arial" w:cs="Arial" w:eastAsia="Arial"/>
          <w:color w:val="0E1E3A"/>
          <w:sz w:val="20"/>
          <w:szCs w:val="20"/>
          <w:rtl/>
        </w:rPr>
        <w:t>رقم السجل التجاري: 4030177445</w:t>
      </w:r>
      <w:r>
        <w:br/>
      </w:r>
      <w:r>
        <w:rPr>
          <w:rFonts w:ascii="Arial" w:hAnsi="Arial" w:cs="Arial" w:eastAsia="Arial"/>
          <w:color w:val="0E1E3A"/>
          <w:sz w:val="20"/>
          <w:szCs w:val="20"/>
          <w:rtl/>
        </w:rPr>
        <w:t xml:space="preserve">الرخصة الصادرة من هيئة السوق المالية: </w:t>
      </w:r>
      <w:r>
        <w:rPr>
          <w:rFonts w:ascii="Arial" w:hAnsi="Arial" w:cs="Arial" w:eastAsia="Arial"/>
          <w:color w:val="0E1E3A"/>
          <w:sz w:val="20"/>
          <w:szCs w:val="20"/>
        </w:rPr>
        <w:t>‎07074-37‎</w:t>
      </w:r>
      <w:r>
        <w:br/>
      </w:r>
      <w:r>
        <w:rPr>
          <w:rFonts w:ascii="Arial" w:hAnsi="Arial" w:cs="Arial" w:eastAsia="Arial"/>
          <w:color w:val="0E1E3A"/>
          <w:sz w:val="20"/>
          <w:szCs w:val="20"/>
          <w:rtl/>
        </w:rPr>
        <w:t>www.alkhabeer.com</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0" name="Picture 9065"/>
            <wp:cNvGraphicFramePr>
              <a:graphicFrameLocks noChangeAspect="1"/>
            </wp:cNvGraphicFramePr>
            <a:graphic>
              <a:graphicData uri="http://schemas.openxmlformats.org/drawingml/2006/picture">
                <pic:pic>
                  <pic:nvPicPr>
                    <pic:cNvPr id="0" name="ico_31799530e5dd3dc5b4ca7f2d37945432.png"/>
                    <pic:cNvPicPr/>
                  </pic:nvPicPr>
                  <pic:blipFill>
                    <a:blip r:embed="rId27"/>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إشعار مهم</w:t>
      </w:r>
    </w:p>
    <w:p>
      <w:pPr>
        <w:bidi w:val="1"/>
        <w:spacing w:before="0" w:after="80" w:line="312" w:lineRule="auto"/>
      </w:pPr>
      <w:r>
        <w:rPr>
          <w:rFonts w:ascii="Arial" w:hAnsi="Arial" w:cs="Arial" w:eastAsia="Arial"/>
          <w:color w:val="5A6478"/>
          <w:sz w:val="17"/>
          <w:szCs w:val="17"/>
          <w:rtl/>
        </w:rPr>
        <w:t>لا تمثل هذه الوثيقة عرضا للشراء أو الاكتتاب أو المشاركة بأي شكل في صندوق "الخبير للنمو والدخل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للنمو والدخل المتداول"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يعد استثمار المستثمر في الصندوق إقرارا منه باطلاعه على شروط وأحكام الصندوق وقبوله بها. تنتفي المسؤولية عن مدير الصندوق أو أي من تابعيه في حال وقوع أي خسارة مالية للصندوق ما لم يكن ذلك ناتجا عن أسباب متعمدة من قبل مدير الصندوق.</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bidi w:val="1"/>
      <w:spacing w:before="0" w:after="0" w:line="240" w:lineRule="auto"/>
    </w:pPr>
    <w:r/>
    <w:r>
      <w:rPr>
        <w:rFonts w:ascii="Arial" w:hAnsi="Arial" w:cs="Arial" w:eastAsia="Arial"/>
        <w:color w:val="5A6478"/>
        <w:sz w:val="15"/>
        <w:szCs w:val="15"/>
        <w:rtl/>
      </w:rPr>
      <w:t>البيان الربع سنوي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ar-S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Arial" w:hAnsi="Arial" w:cs="Arial" w:eastAsia="Arial"/>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0" w:after="100"/>
      <w:outlineLvl w:val="0"/>
    </w:pPr>
    <w:rPr>
      <w:rFonts w:ascii="Arial" w:hAnsi="Arial" w:cs="Arial" w:eastAsia="Arial"/>
      <w:b/>
      <w:bCs/>
      <w:color w:val="12284B"/>
      <w:sz w:val="36"/>
      <w:szCs w:val="28"/>
      <w:rtl/>
    </w:rPr>
  </w:style>
  <w:style w:type="paragraph" w:styleId="Heading2">
    <w:name w:val="heading 2"/>
    <w:basedOn w:val="Normal"/>
    <w:next w:val="Normal"/>
    <w:link w:val="Heading2Char"/>
    <w:uiPriority w:val="9"/>
    <w:unhideWhenUsed/>
    <w:qFormat/>
    <w:rsid w:val="00FC693F"/>
    <w:pPr>
      <w:keepNext/>
      <w:keepLines/>
      <w:bidi w:val="1"/>
      <w:spacing w:before="200" w:after="100"/>
      <w:outlineLvl w:val="1"/>
    </w:pPr>
    <w:rPr>
      <w:rFonts w:ascii="Arial" w:hAnsi="Arial" w:cs="Arial" w:eastAsia="Arial"/>
      <w:b/>
      <w:bCs/>
      <w:color w:val="12284B"/>
      <w:sz w:val="26"/>
      <w:szCs w:val="26"/>
      <w:rtl/>
    </w:rPr>
  </w:style>
  <w:style w:type="paragraph" w:styleId="Heading3">
    <w:name w:val="heading 3"/>
    <w:basedOn w:val="Normal"/>
    <w:next w:val="Normal"/>
    <w:link w:val="Heading3Char"/>
    <w:uiPriority w:val="9"/>
    <w:unhideWhenUsed/>
    <w:qFormat/>
    <w:rsid w:val="00FC693F"/>
    <w:pPr>
      <w:keepNext/>
      <w:keepLines/>
      <w:bidi w:val="1"/>
      <w:spacing w:before="200" w:after="100"/>
      <w:outlineLvl w:val="2"/>
    </w:pPr>
    <w:rPr>
      <w:rFonts w:ascii="Arial" w:hAnsi="Arial" w:cs="Arial" w:eastAsia="Arial"/>
      <w:b/>
      <w:bCs/>
      <w:color w:val="12284B"/>
      <w:sz w:val="22"/>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val="1"/>
      <w:spacing w:after="300" w:line="240" w:lineRule="auto"/>
      <w:contextualSpacing/>
    </w:pPr>
    <w:rPr>
      <w:rFonts w:ascii="Arial" w:hAnsi="Arial" w:cs="Arial" w:eastAsia="Arial"/>
      <w:color w:val="17365D" w:themeColor="text2" w:themeShade="BF"/>
      <w:spacing w:val="5"/>
      <w:kern w:val="28"/>
      <w:sz w:val="5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val="1"/>
      <w:ind w:left="720"/>
      <w:contextualSpacing/>
    </w:pPr>
    <w:rPr>
      <w:rFonts w:ascii="Arial" w:hAnsi="Arial" w:cs="Arial" w:eastAsia="Arial"/>
      <w:rt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jpg"/><Relationship Id="rId26" Type="http://schemas.openxmlformats.org/officeDocument/2006/relationships/image" Target="media/image14.png"/><Relationship Id="rId27"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صندوق الخبير للنمو والدخل — البيان الربع سنوي الربع الرابع 2024م</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ar-SA</dc:language>
</cp:coreProperties>
</file>