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6"/>
            <wp:cNvGraphicFramePr/>
            <a:graphic>
              <a:graphicData uri="http://schemas.openxmlformats.org/drawingml/2006/picture">
                <pic:pic>
                  <pic:nvPicPr>
                    <pic:cNvPr id="9036" name="banner9036.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37"/>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Growth and Income Traded Fund (“the Fund”) is a closed-ended Shari’a-compliant investment traded public equity fund established in accordance with the applicable laws and regulations of the Kingdom of Saudi Arabia and regulated by the Capital Market Authority (CMA). The Fund’s investment objective is to increase the Fund’s Net Asset Value by boosting the performance of the Fund’s investments in the long term and generating current income to investors from the dividend distributions of the companies in which the Fund invests, in addition to part of the capital appreciation resulting from the growth of market value of the securities invested in. This is achieved by investing in a diversified portfolio of global equities, public and private equities, initial public offerings of companies, private placements, cash, and cash equivalents.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4701</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AKGRINF AB EQUITY</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Equity Fund</w:t>
            </w:r>
          </w:p>
        </w:tc>
      </w:tr>
      <w:tr>
        <w:tc>
          <w:tcPr>
            <w:tcW w:type="dxa" w:w="3118"/>
            <w:shd w:val="clear" w:color="auto" w:fill="F3F6FB"/>
          </w:tcPr>
          <w:p>
            <w:pPr>
              <w:spacing w:before="0" w:after="0" w:line="276" w:lineRule="auto"/>
            </w:pPr>
            <w:r>
              <w:rPr>
                <w:rFonts w:ascii="Arial" w:hAnsi="Arial" w:cs="Arial" w:eastAsia="Arial"/>
                <w:color w:val="5A6478"/>
                <w:sz w:val="18"/>
                <w:szCs w:val="18"/>
              </w:rPr>
              <w:t>FUND INCEPTION DATE</w:t>
            </w:r>
          </w:p>
        </w:tc>
        <w:tc>
          <w:tcPr>
            <w:tcW w:type="dxa" w:w="6860"/>
          </w:tcPr>
          <w:p>
            <w:pPr>
              <w:spacing w:before="0" w:after="0" w:line="276" w:lineRule="auto"/>
            </w:pPr>
            <w:r>
              <w:rPr>
                <w:rFonts w:ascii="Arial" w:hAnsi="Arial" w:cs="Arial" w:eastAsia="Arial"/>
                <w:b/>
                <w:bCs/>
                <w:color w:val="0E1E3A"/>
                <w:sz w:val="18"/>
                <w:szCs w:val="18"/>
              </w:rPr>
              <w:t>27 April 2022</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11.5726</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805,741,520</w:t>
            </w:r>
          </w:p>
        </w:tc>
      </w:tr>
      <w:tr>
        <w:tc>
          <w:tcPr>
            <w:tcW w:type="dxa" w:w="3118"/>
            <w:shd w:val="clear" w:color="auto" w:fill="F3F6FB"/>
          </w:tcPr>
          <w:p>
            <w:pPr>
              <w:spacing w:before="0" w:after="0" w:line="276" w:lineRule="auto"/>
            </w:pPr>
            <w:r>
              <w:rPr>
                <w:rFonts w:ascii="Arial" w:hAnsi="Arial" w:cs="Arial" w:eastAsia="Arial"/>
                <w:color w:val="5A6478"/>
                <w:sz w:val="18"/>
                <w:szCs w:val="18"/>
              </w:rPr>
              <w:t>FUND SIZE AT INCEPTION</w:t>
            </w:r>
          </w:p>
        </w:tc>
        <w:tc>
          <w:tcPr>
            <w:tcW w:type="dxa" w:w="6860"/>
          </w:tcPr>
          <w:p>
            <w:pPr>
              <w:spacing w:before="0" w:after="0" w:line="276" w:lineRule="auto"/>
            </w:pPr>
            <w:r>
              <w:rPr>
                <w:rFonts w:ascii="Arial" w:hAnsi="Arial" w:cs="Arial" w:eastAsia="Arial"/>
                <w:b/>
                <w:bCs/>
                <w:color w:val="0E1E3A"/>
                <w:sz w:val="18"/>
                <w:szCs w:val="18"/>
              </w:rPr>
              <w:t>SAR 1 BILLION</w:t>
            </w:r>
          </w:p>
        </w:tc>
      </w:tr>
      <w:tr>
        <w:tc>
          <w:tcPr>
            <w:tcW w:type="dxa" w:w="3118"/>
            <w:shd w:val="clear" w:color="auto" w:fill="F3F6FB"/>
          </w:tcPr>
          <w:p>
            <w:pPr>
              <w:spacing w:before="0" w:after="0" w:line="276" w:lineRule="auto"/>
            </w:pPr>
            <w:r>
              <w:rPr>
                <w:rFonts w:ascii="Arial" w:hAnsi="Arial" w:cs="Arial" w:eastAsia="Arial"/>
                <w:color w:val="5A6478"/>
                <w:sz w:val="18"/>
                <w:szCs w:val="18"/>
              </w:rPr>
              <w:t>BORROWING AMOUNT*</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VALUE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0.06%</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2024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5" name="Picture 9040"/>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Daily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805,741,520</w:t>
            </w:r>
          </w:p>
        </w:tc>
      </w:tr>
      <w:tr>
        <w:tc>
          <w:tcPr>
            <w:tcW w:type="dxa" w:w="3118"/>
            <w:shd w:val="clear" w:color="auto" w:fill="F3F6FB"/>
          </w:tcPr>
          <w:p>
            <w:pPr>
              <w:spacing w:before="0" w:after="0" w:line="276" w:lineRule="auto"/>
            </w:pPr>
            <w:r>
              <w:rPr>
                <w:rFonts w:ascii="Arial" w:hAnsi="Arial" w:cs="Arial" w:eastAsia="Arial"/>
                <w:color w:val="5A6478"/>
                <w:sz w:val="18"/>
                <w:szCs w:val="18"/>
              </w:rPr>
              <w:t>FUND NET ASSET VALUE*</w:t>
            </w:r>
          </w:p>
        </w:tc>
        <w:tc>
          <w:tcPr>
            <w:tcW w:type="dxa" w:w="6860"/>
          </w:tcPr>
          <w:p>
            <w:pPr>
              <w:spacing w:before="0" w:after="0" w:line="276" w:lineRule="auto"/>
            </w:pPr>
            <w:r>
              <w:rPr>
                <w:rFonts w:ascii="Arial" w:hAnsi="Arial" w:cs="Arial" w:eastAsia="Arial"/>
                <w:b/>
                <w:bCs/>
                <w:color w:val="0E1E3A"/>
                <w:sz w:val="18"/>
                <w:szCs w:val="18"/>
              </w:rPr>
              <w:t>SAR 801,036,612</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TRANSACTION EXPENSES FOR THE REPORTING QUARTER</w:t>
            </w:r>
          </w:p>
        </w:tc>
        <w:tc>
          <w:tcPr>
            <w:tcW w:type="dxa" w:w="6860"/>
          </w:tcPr>
          <w:p>
            <w:pPr>
              <w:spacing w:before="0" w:after="0" w:line="276" w:lineRule="auto"/>
            </w:pPr>
            <w:r>
              <w:rPr>
                <w:rFonts w:ascii="Arial" w:hAnsi="Arial" w:cs="Arial" w:eastAsia="Arial"/>
                <w:b/>
                <w:bCs/>
                <w:color w:val="0E1E3A"/>
                <w:sz w:val="18"/>
                <w:szCs w:val="18"/>
              </w:rPr>
              <w:t>SAR 133,565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 **</w:t>
            </w:r>
          </w:p>
        </w:tc>
        <w:tc>
          <w:tcPr>
            <w:tcW w:type="dxa" w:w="6860"/>
          </w:tcPr>
          <w:p>
            <w:pPr>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0.37%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0.36%</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AND FEES FOR THE REPORTING QUARTER</w:t>
            </w:r>
          </w:p>
        </w:tc>
        <w:tc>
          <w:tcPr>
            <w:tcW w:type="dxa" w:w="6860"/>
          </w:tcPr>
          <w:p>
            <w:pPr>
              <w:spacing w:before="0" w:after="0" w:line="276" w:lineRule="auto"/>
            </w:pPr>
            <w:r>
              <w:rPr>
                <w:rFonts w:ascii="Arial" w:hAnsi="Arial" w:cs="Arial" w:eastAsia="Arial"/>
                <w:b/>
                <w:bCs/>
                <w:color w:val="0E1E3A"/>
                <w:sz w:val="18"/>
                <w:szCs w:val="18"/>
              </w:rPr>
              <w:t>SAR 2,976,030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0.36%</w:t>
            </w:r>
          </w:p>
        </w:tc>
      </w:tr>
    </w:tbl>
    <w:p>
      <w:pPr>
        <w:spacing w:before="0" w:after="40" w:line="300" w:lineRule="auto"/>
      </w:pPr>
    </w:p>
    <w:p>
      <w:pPr>
        <w:spacing w:before="0" w:after="80" w:line="312" w:lineRule="auto"/>
      </w:pPr>
      <w:r>
        <w:rPr>
          <w:rFonts w:ascii="Arial" w:hAnsi="Arial" w:cs="Arial" w:eastAsia="Arial"/>
          <w:color w:val="5A6478"/>
          <w:sz w:val="17"/>
          <w:szCs w:val="17"/>
        </w:rPr>
        <w:t>* As of 31 December 2024 (Unaudited).</w:t>
      </w:r>
      <w:r>
        <w:br/>
      </w:r>
      <w:r>
        <w:rPr>
          <w:rFonts w:ascii="Arial" w:hAnsi="Arial" w:cs="Arial" w:eastAsia="Arial"/>
          <w:color w:val="5A6478"/>
          <w:sz w:val="17"/>
          <w:szCs w:val="17"/>
        </w:rPr>
        <w:t>** Fund's expenses and fees are total Fund expenses during the reporting quarter, excluding financing costs.</w:t>
      </w:r>
      <w:r>
        <w:br/>
      </w:r>
      <w:r>
        <w:rPr>
          <w:rFonts w:ascii="Arial" w:hAnsi="Arial" w:cs="Arial" w:eastAsia="Arial"/>
          <w:color w:val="5A6478"/>
          <w:sz w:val="17"/>
          <w:szCs w:val="17"/>
        </w:rPr>
        <w:t>*** Fund's costs are all Fund's fees and expenses, including financing costs.</w:t>
      </w:r>
      <w:r>
        <w:br/>
      </w:r>
      <w:r>
        <w:rPr>
          <w:rFonts w:ascii="Arial" w:hAnsi="Arial" w:cs="Arial" w:eastAsia="Arial"/>
          <w:color w:val="5A6478"/>
          <w:sz w:val="17"/>
          <w:szCs w:val="17"/>
        </w:rPr>
        <w:t>**** Fund's average net asset value during the reporting quarter = SAR 820,901,654.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43"/>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10 LISTED GLOBAL AND LOCAL EQUITIES COMPANIES</w:t>
      </w:r>
    </w:p>
    <w:p>
      <w:pPr>
        <w:spacing w:before="0" w:after="80" w:line="240" w:lineRule="auto"/>
        <w:jc w:val="center"/>
      </w:pPr>
      <w:r>
        <w:drawing>
          <wp:inline xmlns:a="http://schemas.openxmlformats.org/drawingml/2006/main" xmlns:pic="http://schemas.openxmlformats.org/drawingml/2006/picture">
            <wp:extent cx="6336000" cy="2654270"/>
            <wp:docPr id="10" name="Picture 9045"/>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TOP SECTORS OF FUND’S UNDERLYING INVESTEE COMPANIES</w:t>
      </w:r>
    </w:p>
    <w:p>
      <w:pPr>
        <w:spacing w:before="0" w:after="80" w:line="240" w:lineRule="auto"/>
        <w:jc w:val="center"/>
      </w:pPr>
      <w:r>
        <w:drawing>
          <wp:inline xmlns:a="http://schemas.openxmlformats.org/drawingml/2006/main" xmlns:pic="http://schemas.openxmlformats.org/drawingml/2006/picture">
            <wp:extent cx="6336000" cy="2654270"/>
            <wp:docPr id="12" name="Picture 9047"/>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265427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LISTED SHARES</w:t>
            </w:r>
          </w:p>
        </w:tc>
        <w:tc>
          <w:tcPr>
            <w:tcW w:type="dxa" w:w="6860"/>
          </w:tcPr>
          <w:p>
            <w:pPr>
              <w:spacing w:before="0" w:after="0" w:line="276" w:lineRule="auto"/>
            </w:pPr>
            <w:r>
              <w:rPr>
                <w:rFonts w:ascii="Arial" w:hAnsi="Arial" w:cs="Arial" w:eastAsia="Arial"/>
                <w:b/>
                <w:bCs/>
                <w:color w:val="0E1E3A"/>
                <w:sz w:val="18"/>
                <w:szCs w:val="18"/>
              </w:rPr>
              <w:t>SAR 782,160,814</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23,580,706</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49"/>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5" name="Picture 9050"/>
            <wp:cNvGraphicFramePr>
              <a:graphicFrameLocks noChangeAspect="1"/>
            </wp:cNvGraphicFramePr>
            <a:graphic>
              <a:graphicData uri="http://schemas.openxmlformats.org/drawingml/2006/picture">
                <pic:pic>
                  <pic:nvPicPr>
                    <pic:cNvPr id="0" name="x6.j.jpg"/>
                    <pic:cNvPicPr/>
                  </pic:nvPicPr>
                  <pic:blipFill>
                    <a:blip r:embed="rId21"/>
                    <a:stretch>
                      <a:fillRect/>
                    </a:stretch>
                  </pic:blipFill>
                  <pic:spPr>
                    <a:xfrm>
                      <a:off x="0" y="0"/>
                      <a:ext cx="6336000" cy="297773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 (27 APRIL 2022)</w:t>
            </w:r>
          </w:p>
        </w:tc>
        <w:tc>
          <w:tcPr>
            <w:tcW w:type="dxa" w:w="6860"/>
          </w:tcPr>
          <w:p>
            <w:pPr>
              <w:spacing w:before="0" w:after="0" w:line="276" w:lineRule="auto"/>
            </w:pPr>
            <w:r>
              <w:rPr>
                <w:rFonts w:ascii="Arial" w:hAnsi="Arial" w:cs="Arial" w:eastAsia="Arial"/>
                <w:b/>
                <w:bCs/>
                <w:color w:val="0E1E3A"/>
                <w:sz w:val="18"/>
                <w:szCs w:val="18"/>
              </w:rPr>
              <w:t>SAR 1,000,000,000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2022</w:t>
            </w:r>
          </w:p>
        </w:tc>
        <w:tc>
          <w:tcPr>
            <w:tcW w:type="dxa" w:w="6860"/>
          </w:tcPr>
          <w:p>
            <w:pPr>
              <w:spacing w:before="0" w:after="0" w:line="276" w:lineRule="auto"/>
            </w:pPr>
            <w:r>
              <w:rPr>
                <w:rFonts w:ascii="Arial" w:hAnsi="Arial" w:cs="Arial" w:eastAsia="Arial"/>
                <w:b/>
                <w:bCs/>
                <w:color w:val="0E1E3A"/>
                <w:sz w:val="18"/>
                <w:szCs w:val="18"/>
              </w:rPr>
              <w:t>SAR 691,000,000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SEPTEMBER 2022</w:t>
            </w:r>
          </w:p>
        </w:tc>
        <w:tc>
          <w:tcPr>
            <w:tcW w:type="dxa" w:w="6860"/>
          </w:tcPr>
          <w:p>
            <w:pPr>
              <w:spacing w:before="0" w:after="0" w:line="276" w:lineRule="auto"/>
            </w:pPr>
            <w:r>
              <w:rPr>
                <w:rFonts w:ascii="Arial" w:hAnsi="Arial" w:cs="Arial" w:eastAsia="Arial"/>
                <w:b/>
                <w:bCs/>
                <w:color w:val="0E1E3A"/>
                <w:sz w:val="18"/>
                <w:szCs w:val="18"/>
              </w:rPr>
              <w:t>SAR 617,000,000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29 DECEMBER 2022</w:t>
            </w:r>
          </w:p>
        </w:tc>
        <w:tc>
          <w:tcPr>
            <w:tcW w:type="dxa" w:w="6860"/>
          </w:tcPr>
          <w:p>
            <w:pPr>
              <w:spacing w:before="0" w:after="0" w:line="276" w:lineRule="auto"/>
            </w:pPr>
            <w:r>
              <w:rPr>
                <w:rFonts w:ascii="Arial" w:hAnsi="Arial" w:cs="Arial" w:eastAsia="Arial"/>
                <w:b/>
                <w:bCs/>
                <w:color w:val="0E1E3A"/>
                <w:sz w:val="18"/>
                <w:szCs w:val="18"/>
              </w:rPr>
              <w:t>SAR 569,000,000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MARCH 2023</w:t>
            </w:r>
          </w:p>
        </w:tc>
        <w:tc>
          <w:tcPr>
            <w:tcW w:type="dxa" w:w="6860"/>
          </w:tcPr>
          <w:p>
            <w:pPr>
              <w:spacing w:before="0" w:after="0" w:line="276" w:lineRule="auto"/>
            </w:pPr>
            <w:r>
              <w:rPr>
                <w:rFonts w:ascii="Arial" w:hAnsi="Arial" w:cs="Arial" w:eastAsia="Arial"/>
                <w:b/>
                <w:bCs/>
                <w:color w:val="0E1E3A"/>
                <w:sz w:val="18"/>
                <w:szCs w:val="18"/>
              </w:rPr>
              <w:t>SAR 597,000,000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22 JUNE 2023</w:t>
            </w:r>
          </w:p>
        </w:tc>
        <w:tc>
          <w:tcPr>
            <w:tcW w:type="dxa" w:w="6860"/>
          </w:tcPr>
          <w:p>
            <w:pPr>
              <w:spacing w:before="0" w:after="0" w:line="276" w:lineRule="auto"/>
            </w:pPr>
            <w:r>
              <w:rPr>
                <w:rFonts w:ascii="Arial" w:hAnsi="Arial" w:cs="Arial" w:eastAsia="Arial"/>
                <w:b/>
                <w:bCs/>
                <w:color w:val="0E1E3A"/>
                <w:sz w:val="18"/>
                <w:szCs w:val="18"/>
              </w:rPr>
              <w:t>SAR 811,000,000</w:t>
            </w:r>
          </w:p>
        </w:tc>
      </w:tr>
      <w:tr>
        <w:tc>
          <w:tcPr>
            <w:tcW w:type="dxa" w:w="3118"/>
            <w:shd w:val="clear" w:color="auto" w:fill="F3F6FB"/>
          </w:tcPr>
          <w:p>
            <w:pPr>
              <w:spacing w:before="0" w:after="0" w:line="276" w:lineRule="auto"/>
            </w:pPr>
            <w:r>
              <w:rPr>
                <w:rFonts w:ascii="Arial" w:hAnsi="Arial" w:cs="Arial" w:eastAsia="Arial"/>
                <w:color w:val="5A6478"/>
                <w:sz w:val="18"/>
                <w:szCs w:val="18"/>
              </w:rPr>
              <w:t>AS AT 28 SEPTEMBER 2023*</w:t>
            </w:r>
          </w:p>
        </w:tc>
        <w:tc>
          <w:tcPr>
            <w:tcW w:type="dxa" w:w="6860"/>
          </w:tcPr>
          <w:p>
            <w:pPr>
              <w:spacing w:before="0" w:after="0" w:line="276" w:lineRule="auto"/>
            </w:pPr>
            <w:r>
              <w:rPr>
                <w:rFonts w:ascii="Arial" w:hAnsi="Arial" w:cs="Arial" w:eastAsia="Arial"/>
                <w:b/>
                <w:bCs/>
                <w:color w:val="0E1E3A"/>
                <w:sz w:val="18"/>
                <w:szCs w:val="18"/>
              </w:rPr>
              <w:t>SAR 654,189,890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2023**</w:t>
            </w:r>
          </w:p>
        </w:tc>
        <w:tc>
          <w:tcPr>
            <w:tcW w:type="dxa" w:w="6860"/>
          </w:tcPr>
          <w:p>
            <w:pPr>
              <w:spacing w:before="0" w:after="0" w:line="276" w:lineRule="auto"/>
            </w:pPr>
            <w:r>
              <w:rPr>
                <w:rFonts w:ascii="Arial" w:hAnsi="Arial" w:cs="Arial" w:eastAsia="Arial"/>
                <w:b/>
                <w:bCs/>
                <w:color w:val="0E1E3A"/>
                <w:sz w:val="18"/>
                <w:szCs w:val="18"/>
              </w:rPr>
              <w:t>SAR 633,808,698</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2024***</w:t>
            </w:r>
          </w:p>
        </w:tc>
        <w:tc>
          <w:tcPr>
            <w:tcW w:type="dxa" w:w="6860"/>
          </w:tcPr>
          <w:p>
            <w:pPr>
              <w:spacing w:before="0" w:after="0" w:line="276" w:lineRule="auto"/>
            </w:pPr>
            <w:r>
              <w:rPr>
                <w:rFonts w:ascii="Arial" w:hAnsi="Arial" w:cs="Arial" w:eastAsia="Arial"/>
                <w:b/>
                <w:bCs/>
                <w:color w:val="0E1E3A"/>
                <w:sz w:val="18"/>
                <w:szCs w:val="18"/>
              </w:rPr>
              <w:t>SAR 642,402,714</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2024****</w:t>
            </w:r>
          </w:p>
        </w:tc>
        <w:tc>
          <w:tcPr>
            <w:tcW w:type="dxa" w:w="6860"/>
          </w:tcPr>
          <w:p>
            <w:pPr>
              <w:spacing w:before="0" w:after="0" w:line="276" w:lineRule="auto"/>
            </w:pPr>
            <w:r>
              <w:rPr>
                <w:rFonts w:ascii="Arial" w:hAnsi="Arial" w:cs="Arial" w:eastAsia="Arial"/>
                <w:b/>
                <w:bCs/>
                <w:color w:val="0E1E3A"/>
                <w:sz w:val="18"/>
                <w:szCs w:val="18"/>
              </w:rPr>
              <w:t>SAR 621,319,083</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2024*****</w:t>
            </w:r>
          </w:p>
        </w:tc>
        <w:tc>
          <w:tcPr>
            <w:tcW w:type="dxa" w:w="6860"/>
          </w:tcPr>
          <w:p>
            <w:pPr>
              <w:spacing w:before="0" w:after="0" w:line="276" w:lineRule="auto"/>
            </w:pPr>
            <w:r>
              <w:rPr>
                <w:rFonts w:ascii="Arial" w:hAnsi="Arial" w:cs="Arial" w:eastAsia="Arial"/>
                <w:b/>
                <w:bCs/>
                <w:color w:val="0E1E3A"/>
                <w:sz w:val="18"/>
                <w:szCs w:val="18"/>
              </w:rPr>
              <w:t>SAR 572,376,972</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2024******</w:t>
            </w:r>
          </w:p>
        </w:tc>
        <w:tc>
          <w:tcPr>
            <w:tcW w:type="dxa" w:w="6860"/>
          </w:tcPr>
          <w:p>
            <w:pPr>
              <w:spacing w:before="0" w:after="0" w:line="276" w:lineRule="auto"/>
            </w:pPr>
            <w:r>
              <w:rPr>
                <w:rFonts w:ascii="Arial" w:hAnsi="Arial" w:cs="Arial" w:eastAsia="Arial"/>
                <w:b/>
                <w:bCs/>
                <w:color w:val="0E1E3A"/>
                <w:sz w:val="18"/>
                <w:szCs w:val="18"/>
              </w:rPr>
              <w:t>SAR 583,510,775</w:t>
            </w:r>
          </w:p>
        </w:tc>
      </w:tr>
    </w:tbl>
    <w:p>
      <w:pPr>
        <w:spacing w:before="0" w:after="40" w:line="300" w:lineRule="auto"/>
      </w:pPr>
    </w:p>
    <w:p>
      <w:pPr>
        <w:spacing w:before="0" w:after="80" w:line="312" w:lineRule="auto"/>
      </w:pPr>
      <w:r>
        <w:rPr>
          <w:rFonts w:ascii="Arial" w:hAnsi="Arial" w:cs="Arial" w:eastAsia="Arial"/>
          <w:color w:val="5A6478"/>
          <w:sz w:val="17"/>
          <w:szCs w:val="17"/>
        </w:rPr>
        <w:t>* Excluding Units bought back by the Fund for cancellation (24,371,111 Units) as at 28 September 2023</w:t>
      </w:r>
      <w:r>
        <w:br/>
      </w:r>
      <w:r>
        <w:rPr>
          <w:rFonts w:ascii="Arial" w:hAnsi="Arial" w:cs="Arial" w:eastAsia="Arial"/>
          <w:color w:val="5A6478"/>
          <w:sz w:val="17"/>
          <w:szCs w:val="17"/>
        </w:rPr>
        <w:t>** Excluding Units bought back by the Fund for cancellation (28,383,198 Units) as at 31 December 2023</w:t>
      </w:r>
      <w:r>
        <w:br/>
      </w:r>
      <w:r>
        <w:rPr>
          <w:rFonts w:ascii="Arial" w:hAnsi="Arial" w:cs="Arial" w:eastAsia="Arial"/>
          <w:color w:val="5A6478"/>
          <w:sz w:val="17"/>
          <w:szCs w:val="17"/>
        </w:rPr>
        <w:t>*** Excluding Units bought back by the Fund for cancellation (28,383,198 Units) as at 31 March 2024</w:t>
      </w:r>
      <w:r>
        <w:br/>
      </w:r>
      <w:r>
        <w:rPr>
          <w:rFonts w:ascii="Arial" w:hAnsi="Arial" w:cs="Arial" w:eastAsia="Arial"/>
          <w:color w:val="5A6478"/>
          <w:sz w:val="17"/>
          <w:szCs w:val="17"/>
        </w:rPr>
        <w:t>**** Excluding Units bought back by the Fund for cancellation (29,475,700 Units) as at 30 June 2024</w:t>
      </w:r>
      <w:r>
        <w:br/>
      </w:r>
      <w:r>
        <w:rPr>
          <w:rFonts w:ascii="Arial" w:hAnsi="Arial" w:cs="Arial" w:eastAsia="Arial"/>
          <w:color w:val="5A6478"/>
          <w:sz w:val="17"/>
          <w:szCs w:val="17"/>
        </w:rPr>
        <w:t>***** Units bought back by the Fund for cancellation (30,025,851 Units) were cancelled on 25 July</w:t>
      </w:r>
      <w:r>
        <w:br/>
      </w:r>
      <w:r>
        <w:rPr>
          <w:rFonts w:ascii="Arial" w:hAnsi="Arial" w:cs="Arial" w:eastAsia="Arial"/>
          <w:color w:val="5A6478"/>
          <w:sz w:val="17"/>
          <w:szCs w:val="17"/>
        </w:rPr>
        <w:t>2024</w:t>
      </w:r>
      <w:r>
        <w:br/>
      </w:r>
      <w:r>
        <w:rPr>
          <w:rFonts w:ascii="Arial" w:hAnsi="Arial" w:cs="Arial" w:eastAsia="Arial"/>
          <w:color w:val="5A6478"/>
          <w:sz w:val="17"/>
          <w:szCs w:val="17"/>
        </w:rPr>
        <w:t>***** Excluding Units bought back by the Fund for cancellation (257,100 Units) as at 30 September</w:t>
      </w:r>
      <w:r>
        <w:br/>
      </w:r>
      <w:r>
        <w:rPr>
          <w:rFonts w:ascii="Arial" w:hAnsi="Arial" w:cs="Arial" w:eastAsia="Arial"/>
          <w:color w:val="5A6478"/>
          <w:sz w:val="17"/>
          <w:szCs w:val="17"/>
        </w:rPr>
        <w:t>2024</w:t>
      </w:r>
      <w:r>
        <w:br/>
      </w:r>
      <w:r>
        <w:rPr>
          <w:rFonts w:ascii="Arial" w:hAnsi="Arial" w:cs="Arial" w:eastAsia="Arial"/>
          <w:color w:val="5A6478"/>
          <w:sz w:val="17"/>
          <w:szCs w:val="17"/>
        </w:rPr>
        <w:t>** Excluding Units bought back by the Fund for cancellation (755,789 Units) as at 31 December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5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Q4 (31 DECEMBER 2024)</w:t>
            </w:r>
          </w:p>
        </w:tc>
        <w:tc>
          <w:tcPr>
            <w:tcW w:type="dxa" w:w="6860"/>
          </w:tcPr>
          <w:p>
            <w:pPr>
              <w:spacing w:before="0" w:after="0" w:line="276" w:lineRule="auto"/>
            </w:pPr>
            <w:r>
              <w:rPr>
                <w:rFonts w:ascii="Arial" w:hAnsi="Arial" w:cs="Arial" w:eastAsia="Arial"/>
                <w:b/>
                <w:bCs/>
                <w:color w:val="0E1E3A"/>
                <w:sz w:val="18"/>
                <w:szCs w:val="18"/>
              </w:rPr>
              <w:t>SAR 8.43</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COMPARED TO THE PREVIOUS QUARTER (30 SEPTEMBER 2024 TO 31 DECEMBER 2024)</w:t>
            </w:r>
          </w:p>
        </w:tc>
        <w:tc>
          <w:tcPr>
            <w:tcW w:type="dxa" w:w="6860"/>
          </w:tcPr>
          <w:p>
            <w:pPr>
              <w:spacing w:before="0" w:after="0" w:line="276" w:lineRule="auto"/>
            </w:pPr>
            <w:r>
              <w:rPr>
                <w:rFonts w:ascii="Arial" w:hAnsi="Arial" w:cs="Arial" w:eastAsia="Arial"/>
                <w:b/>
                <w:bCs/>
                <w:color w:val="0E1E3A"/>
                <w:sz w:val="18"/>
                <w:szCs w:val="18"/>
              </w:rPr>
              <w:t>2.68%</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Q4 2024)</w:t>
            </w:r>
          </w:p>
        </w:tc>
        <w:tc>
          <w:tcPr>
            <w:tcW w:type="dxa" w:w="6860"/>
          </w:tcPr>
          <w:p>
            <w:pPr>
              <w:spacing w:before="0" w:after="0" w:line="276" w:lineRule="auto"/>
            </w:pPr>
            <w:r>
              <w:rPr>
                <w:rFonts w:ascii="Arial" w:hAnsi="Arial" w:cs="Arial" w:eastAsia="Arial"/>
                <w:b/>
                <w:bCs/>
                <w:color w:val="0E1E3A"/>
                <w:sz w:val="18"/>
                <w:szCs w:val="18"/>
              </w:rPr>
              <w:t>-15.70%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TOTAL RETURN SINCE THE LISTING DATE (FROM THE LISTING DATE TO END Q4 2024)</w:t>
            </w:r>
          </w:p>
        </w:tc>
        <w:tc>
          <w:tcPr>
            <w:tcW w:type="dxa" w:w="6860"/>
          </w:tcPr>
          <w:p>
            <w:pPr>
              <w:spacing w:before="0" w:after="0" w:line="276" w:lineRule="auto"/>
            </w:pPr>
            <w:r>
              <w:rPr>
                <w:rFonts w:ascii="Arial" w:hAnsi="Arial" w:cs="Arial" w:eastAsia="Arial"/>
                <w:b/>
                <w:bCs/>
                <w:color w:val="0E1E3A"/>
                <w:sz w:val="18"/>
                <w:szCs w:val="18"/>
              </w:rPr>
              <w:t>2.86%</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9.38</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8.01</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 (AS AT 31 DECEMBER 2024) *</w:t>
            </w:r>
          </w:p>
        </w:tc>
        <w:tc>
          <w:tcPr>
            <w:tcW w:type="dxa" w:w="6860"/>
          </w:tcPr>
          <w:p>
            <w:pPr>
              <w:spacing w:before="0" w:after="0" w:line="276" w:lineRule="auto"/>
            </w:pPr>
            <w:r>
              <w:rPr>
                <w:rFonts w:ascii="Arial" w:hAnsi="Arial" w:cs="Arial" w:eastAsia="Arial"/>
                <w:b/>
                <w:bCs/>
                <w:color w:val="0E1E3A"/>
                <w:sz w:val="18"/>
                <w:szCs w:val="18"/>
              </w:rPr>
              <w:t>69,218,360 Units</w:t>
            </w:r>
          </w:p>
        </w:tc>
      </w:tr>
      <w:tr>
        <w:tc>
          <w:tcPr>
            <w:tcW w:type="dxa" w:w="3118"/>
            <w:shd w:val="clear" w:color="auto" w:fill="F3F6FB"/>
          </w:tcPr>
          <w:p>
            <w:pPr>
              <w:spacing w:before="0" w:after="0" w:line="276" w:lineRule="auto"/>
            </w:pPr>
            <w:r>
              <w:rPr>
                <w:rFonts w:ascii="Arial" w:hAnsi="Arial" w:cs="Arial" w:eastAsia="Arial"/>
                <w:color w:val="5A6478"/>
                <w:sz w:val="18"/>
                <w:szCs w:val="18"/>
              </w:rPr>
              <w:t>DUAL UNIT PRICE OF MONEY MARKET FUNDS AND FIXED INCOME DEBT FUNDS</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After deducting Units bought back by the Fund for cancellation.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53"/>
            <wp:cNvGraphicFramePr>
              <a:graphicFrameLocks noChangeAspect="1"/>
            </wp:cNvGraphicFramePr>
            <a:graphic>
              <a:graphicData uri="http://schemas.openxmlformats.org/drawingml/2006/picture">
                <pic:pic>
                  <pic:nvPicPr>
                    <pic:cNvPr id="0" name="ico_737e94dc9d8d67dbf235ae564951a5f7.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 DURING THE REPORTING QUARTER</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aims to distribute 100% of the net returns on the Fund's investments, which only include the distributions of Fund's underlying listed shares twice a year. The Fund will distribute returns within Forty (40) business days after the date of issue of the semi-annual and annual financial statements. The Fund Manager may, at its discretion, distribute up to 50% of the realized and unrealized capital gains twice a year. The Fund will distribute realized and unrealized capital gains (if any) within ten (10) business days after the date of issue of the semi-annual and annual financial statements. Details of the cash distributions will be announced on Saudi Tadawul's website.</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 DISTRIBUTIONS FOR THE LAST SEMI-ANNUAL PERIOD</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DIVIDEND DISTRIBUTIONS FOR THE LAST SEMI-ANNUAL PERIOD PER UNIT**</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IN THE REPORTING QUARTER TO INITIAL UNIT PRICE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DISTRIBUTED DIVIDENDS TO MARKET UNIT PRICE</w:t>
            </w:r>
          </w:p>
        </w:tc>
        <w:tc>
          <w:tcPr>
            <w:tcW w:type="dxa" w:w="6860"/>
          </w:tcPr>
          <w:p>
            <w:pPr>
              <w:spacing w:before="0" w:after="0" w:line="276" w:lineRule="auto"/>
            </w:pPr>
            <w:r>
              <w:rPr>
                <w:rFonts w:ascii="Arial" w:hAnsi="Arial" w:cs="Arial" w:eastAsia="Arial"/>
                <w:b/>
                <w:bCs/>
                <w:color w:val="0E1E3A"/>
                <w:sz w:val="18"/>
                <w:szCs w:val="18"/>
              </w:rPr>
              <w:t>0</w:t>
            </w:r>
          </w:p>
        </w:tc>
      </w:tr>
      <w:tr>
        <w:tc>
          <w:tcPr>
            <w:tcW w:type="dxa" w:w="3118"/>
            <w:shd w:val="clear" w:color="auto" w:fill="F3F6FB"/>
          </w:tcPr>
          <w:p>
            <w:pPr>
              <w:spacing w:before="0" w:after="0" w:line="276" w:lineRule="auto"/>
            </w:pPr>
            <w:r>
              <w:rPr>
                <w:rFonts w:ascii="Arial" w:hAnsi="Arial" w:cs="Arial" w:eastAsia="Arial"/>
                <w:color w:val="5A6478"/>
                <w:sz w:val="18"/>
                <w:szCs w:val="18"/>
              </w:rPr>
              <w:t>GAINS RECEIVED ON THE FUND'S UNDERLYING LISTED SHARES</w:t>
            </w:r>
          </w:p>
        </w:tc>
        <w:tc>
          <w:tcPr>
            <w:tcW w:type="dxa" w:w="6860"/>
          </w:tcPr>
          <w:p>
            <w:pPr>
              <w:spacing w:before="0" w:after="0" w:line="276" w:lineRule="auto"/>
            </w:pPr>
            <w:r>
              <w:rPr>
                <w:rFonts w:ascii="Arial" w:hAnsi="Arial" w:cs="Arial" w:eastAsia="Arial"/>
                <w:b/>
                <w:bCs/>
                <w:color w:val="0E1E3A"/>
                <w:sz w:val="18"/>
                <w:szCs w:val="18"/>
              </w:rPr>
              <w:t>SAR 1,005,909</w:t>
            </w:r>
          </w:p>
        </w:tc>
      </w:tr>
      <w:tr>
        <w:tc>
          <w:tcPr>
            <w:tcW w:type="dxa" w:w="3118"/>
            <w:shd w:val="clear" w:color="auto" w:fill="F3F6FB"/>
          </w:tcPr>
          <w:p>
            <w:pPr>
              <w:spacing w:before="0" w:after="0" w:line="276" w:lineRule="auto"/>
            </w:pPr>
            <w:r>
              <w:rPr>
                <w:rFonts w:ascii="Arial" w:hAnsi="Arial" w:cs="Arial" w:eastAsia="Arial"/>
                <w:color w:val="5A6478"/>
                <w:sz w:val="18"/>
                <w:szCs w:val="18"/>
              </w:rPr>
              <w:t>REALIZED LOSS ON THE FUND'S INVESTMENTS</w:t>
            </w:r>
          </w:p>
        </w:tc>
        <w:tc>
          <w:tcPr>
            <w:tcW w:type="dxa" w:w="6860"/>
          </w:tcPr>
          <w:p>
            <w:pPr>
              <w:spacing w:before="0" w:after="0" w:line="276" w:lineRule="auto"/>
            </w:pPr>
            <w:r>
              <w:rPr>
                <w:rFonts w:ascii="Arial" w:hAnsi="Arial" w:cs="Arial" w:eastAsia="Arial"/>
                <w:b/>
                <w:bCs/>
                <w:color w:val="0E1E3A"/>
                <w:sz w:val="18"/>
                <w:szCs w:val="18"/>
              </w:rPr>
              <w:t>SAR -5,114,817</w:t>
            </w:r>
          </w:p>
        </w:tc>
      </w:tr>
      <w:tr>
        <w:tc>
          <w:tcPr>
            <w:tcW w:type="dxa" w:w="3118"/>
            <w:shd w:val="clear" w:color="auto" w:fill="F3F6FB"/>
          </w:tcPr>
          <w:p>
            <w:pPr>
              <w:spacing w:before="0" w:after="0" w:line="276" w:lineRule="auto"/>
            </w:pPr>
            <w:r>
              <w:rPr>
                <w:rFonts w:ascii="Arial" w:hAnsi="Arial" w:cs="Arial" w:eastAsia="Arial"/>
                <w:color w:val="5A6478"/>
                <w:sz w:val="18"/>
                <w:szCs w:val="18"/>
              </w:rPr>
              <w:t>UNREALIZED LOSS ON THE FUND'S INVESTMENTS</w:t>
            </w:r>
          </w:p>
        </w:tc>
        <w:tc>
          <w:tcPr>
            <w:tcW w:type="dxa" w:w="6860"/>
          </w:tcPr>
          <w:p>
            <w:pPr>
              <w:spacing w:before="0" w:after="0" w:line="276" w:lineRule="auto"/>
            </w:pPr>
            <w:r>
              <w:rPr>
                <w:rFonts w:ascii="Arial" w:hAnsi="Arial" w:cs="Arial" w:eastAsia="Arial"/>
                <w:b/>
                <w:bCs/>
                <w:color w:val="0E1E3A"/>
                <w:sz w:val="18"/>
                <w:szCs w:val="18"/>
              </w:rPr>
              <w:t>SAR -20,279,819</w:t>
            </w:r>
          </w:p>
        </w:tc>
      </w:tr>
      <w:tr>
        <w:tc>
          <w:tcPr>
            <w:tcW w:type="dxa" w:w="3118"/>
            <w:shd w:val="clear" w:color="auto" w:fill="F3F6FB"/>
          </w:tcPr>
          <w:p>
            <w:pPr>
              <w:spacing w:before="0" w:after="0" w:line="276" w:lineRule="auto"/>
            </w:pPr>
            <w:r>
              <w:rPr>
                <w:rFonts w:ascii="Arial" w:hAnsi="Arial" w:cs="Arial" w:eastAsia="Arial"/>
                <w:color w:val="5A6478"/>
                <w:sz w:val="18"/>
                <w:szCs w:val="18"/>
              </w:rPr>
              <w:t>GAIN FROM FOREIGN CURRENCY RATE DIFFERENCES</w:t>
            </w:r>
          </w:p>
        </w:tc>
        <w:tc>
          <w:tcPr>
            <w:tcW w:type="dxa" w:w="6860"/>
          </w:tcPr>
          <w:p>
            <w:pPr>
              <w:spacing w:before="0" w:after="0" w:line="276" w:lineRule="auto"/>
            </w:pPr>
            <w:r>
              <w:rPr>
                <w:rFonts w:ascii="Arial" w:hAnsi="Arial" w:cs="Arial" w:eastAsia="Arial"/>
                <w:b/>
                <w:bCs/>
                <w:color w:val="0E1E3A"/>
                <w:sz w:val="18"/>
                <w:szCs w:val="18"/>
              </w:rPr>
              <w:t>SAR 416,428</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(LOSS) FOR THE REPORTING QUARTER</w:t>
            </w:r>
          </w:p>
        </w:tc>
        <w:tc>
          <w:tcPr>
            <w:tcW w:type="dxa" w:w="6860"/>
          </w:tcPr>
          <w:p>
            <w:pPr>
              <w:spacing w:before="0" w:after="0" w:line="276" w:lineRule="auto"/>
            </w:pPr>
            <w:r>
              <w:rPr>
                <w:rFonts w:ascii="Arial" w:hAnsi="Arial" w:cs="Arial" w:eastAsia="Arial"/>
                <w:b/>
                <w:bCs/>
                <w:color w:val="0E1E3A"/>
                <w:sz w:val="18"/>
                <w:szCs w:val="18"/>
              </w:rPr>
              <w:t>SAR -23,972,301</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 TO UNIT PRICE AS AT 31 DECEMBER 2024</w:t>
            </w:r>
          </w:p>
        </w:tc>
        <w:tc>
          <w:tcPr>
            <w:tcW w:type="dxa" w:w="6860"/>
          </w:tcPr>
          <w:p>
            <w:pPr>
              <w:spacing w:before="0" w:after="0" w:line="276" w:lineRule="auto"/>
            </w:pPr>
            <w:r>
              <w:rPr>
                <w:rFonts w:ascii="Arial" w:hAnsi="Arial" w:cs="Arial" w:eastAsia="Arial"/>
                <w:b/>
                <w:bCs/>
                <w:color w:val="0E1E3A"/>
                <w:sz w:val="18"/>
                <w:szCs w:val="18"/>
              </w:rPr>
              <w:t>-4.11%</w:t>
            </w:r>
          </w:p>
        </w:tc>
      </w:tr>
    </w:tbl>
    <w:p>
      <w:pPr>
        <w:spacing w:before="0" w:after="40" w:line="300" w:lineRule="auto"/>
      </w:pPr>
    </w:p>
    <w:p>
      <w:pPr>
        <w:spacing w:before="0" w:after="80" w:line="312" w:lineRule="auto"/>
      </w:pPr>
      <w:r>
        <w:rPr>
          <w:rFonts w:ascii="Arial" w:hAnsi="Arial" w:cs="Arial" w:eastAsia="Arial"/>
          <w:color w:val="5A6478"/>
          <w:sz w:val="17"/>
          <w:szCs w:val="17"/>
        </w:rPr>
        <w:t>* The dividend distribution policy will be updated after obtaining CMA’s approval..</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54"/>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Alkhabeer Global Equity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NET FUND TOTAL RETURN SINCE THE DATE OF INCEPTION</w:t>
            </w:r>
          </w:p>
        </w:tc>
        <w:tc>
          <w:tcPr>
            <w:tcW w:type="dxa" w:w="6860"/>
          </w:tcPr>
          <w:p>
            <w:pPr>
              <w:spacing w:before="0" w:after="0" w:line="276" w:lineRule="auto"/>
            </w:pPr>
            <w:r>
              <w:rPr>
                <w:rFonts w:ascii="Arial" w:hAnsi="Arial" w:cs="Arial" w:eastAsia="Arial"/>
                <w:b/>
                <w:bCs/>
                <w:color w:val="0E1E3A"/>
                <w:sz w:val="18"/>
                <w:szCs w:val="18"/>
              </w:rPr>
              <w:t>35.19%</w:t>
            </w:r>
          </w:p>
        </w:tc>
      </w:tr>
      <w:tr>
        <w:tc>
          <w:tcPr>
            <w:tcW w:type="dxa" w:w="3118"/>
            <w:shd w:val="clear" w:color="auto" w:fill="F3F6FB"/>
          </w:tcPr>
          <w:p>
            <w:pPr>
              <w:spacing w:before="0" w:after="0" w:line="276" w:lineRule="auto"/>
            </w:pPr>
            <w:r>
              <w:rPr>
                <w:rFonts w:ascii="Arial" w:hAnsi="Arial" w:cs="Arial" w:eastAsia="Arial"/>
                <w:color w:val="5A6478"/>
                <w:sz w:val="18"/>
                <w:szCs w:val="18"/>
              </w:rPr>
              <w:t>P/E RATIO (LAST TWELVE MONTHS)</w:t>
            </w:r>
          </w:p>
        </w:tc>
        <w:tc>
          <w:tcPr>
            <w:tcW w:type="dxa" w:w="6860"/>
          </w:tcPr>
          <w:p>
            <w:pPr>
              <w:spacing w:before="0" w:after="0" w:line="276" w:lineRule="auto"/>
            </w:pPr>
            <w:r>
              <w:rPr>
                <w:rFonts w:ascii="Arial" w:hAnsi="Arial" w:cs="Arial" w:eastAsia="Arial"/>
                <w:b/>
                <w:bCs/>
                <w:color w:val="0E1E3A"/>
                <w:sz w:val="18"/>
                <w:szCs w:val="18"/>
              </w:rPr>
              <w:t>23.8x</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5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Alkhabeer Global Equity Index is an index especially created for the Fund in collaboration with the Index Service Provider, who will calculate the valuations of the companies that are included in the Index and will manage the Index on behalf of the Fund. The Index includes companies which are diversified by sector and size in the largest global capital markets, as well as the largest leading companies in the Kingdom of Saudi Arabia. The companies will be filtered based on a market value exceeding US $ 100 million, and a trade value exceeding US $ 1 million per day. The Index includes 160 global companies representing the largest global capital markets, in addition to the largest 10 listed companies on the Saudi Stock Exchange, compliant with the guidelines of the Shari’a Supervisory Committee. The global companies included in the index are divided by market cap into three categories: the largest 70 in terms of market value of free float shares among large market cap companies, the largest 50 companies in terms of market value of free float shares among medium market cap companies, and the largest 40 companies in terms of market value of free float shares among small market cap companies.</w:t>
      </w:r>
    </w:p>
    <w:p>
      <w:pPr>
        <w:spacing w:before="0" w:after="80" w:line="312" w:lineRule="auto"/>
      </w:pPr>
      <w:r>
        <w:rPr>
          <w:rFonts w:ascii="Arial" w:hAnsi="Arial" w:cs="Arial" w:eastAsia="Arial"/>
          <w:color w:val="0E1E3A"/>
          <w:sz w:val="20"/>
          <w:szCs w:val="20"/>
        </w:rPr>
        <w:t>Large market cap companies are defined as companies representing the largest market capitalization. It is the segment which represents up to 70% of the aggregate capitalization of the market combined, while the medium cap segment represents more than 70% up to 85% of the aggregate market capitalization, and the small cap represents more than 85% up to 100% of the aggregate market capitalization.</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56"/>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GROWTH AND INCOME TRADED FUND</w:t>
            </w:r>
          </w:p>
        </w:tc>
        <w:tc>
          <w:tcPr>
            <w:tcW w:type="dxa" w:w="3326"/>
            <w:shd w:val="clear" w:color="auto" w:fill="12284B"/>
          </w:tcPr>
          <w:p>
            <w:pPr>
              <w:spacing w:before="0" w:after="0" w:line="264" w:lineRule="auto"/>
            </w:pPr>
            <w:r>
              <w:rPr>
                <w:rFonts w:ascii="Arial" w:hAnsi="Arial" w:cs="Arial" w:eastAsia="Arial"/>
                <w:b/>
                <w:bCs/>
                <w:color w:val="FFFFFF"/>
                <w:sz w:val="17"/>
                <w:szCs w:val="17"/>
              </w:rPr>
              <w:t>ALKHABEER GLOBAL EQUITY INDEX</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SAR 11.9375</w:t>
            </w:r>
          </w:p>
        </w:tc>
        <w:tc>
          <w:tcPr>
            <w:tcW w:type="dxa" w:w="3326"/>
          </w:tcPr>
          <w:p>
            <w:pPr>
              <w:spacing w:before="0" w:after="0" w:line="264" w:lineRule="auto"/>
            </w:pPr>
            <w:r>
              <w:rPr>
                <w:rFonts w:ascii="Arial" w:hAnsi="Arial" w:cs="Arial" w:eastAsia="Arial"/>
                <w:color w:val="0E1E3A"/>
                <w:sz w:val="17"/>
                <w:szCs w:val="17"/>
              </w:rPr>
              <w:t>123.2346</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SAR 11.5726</w:t>
            </w:r>
          </w:p>
        </w:tc>
        <w:tc>
          <w:tcPr>
            <w:tcW w:type="dxa" w:w="3326"/>
          </w:tcPr>
          <w:p>
            <w:pPr>
              <w:spacing w:before="0" w:after="0" w:line="264" w:lineRule="auto"/>
            </w:pPr>
            <w:r>
              <w:rPr>
                <w:rFonts w:ascii="Arial" w:hAnsi="Arial" w:cs="Arial" w:eastAsia="Arial"/>
                <w:color w:val="0E1E3A"/>
                <w:sz w:val="17"/>
                <w:szCs w:val="17"/>
              </w:rPr>
              <w:t>118.7953</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-3.06%</w:t>
            </w:r>
          </w:p>
        </w:tc>
        <w:tc>
          <w:tcPr>
            <w:tcW w:type="dxa" w:w="3326"/>
          </w:tcPr>
          <w:p>
            <w:pPr>
              <w:spacing w:before="0" w:after="0" w:line="264" w:lineRule="auto"/>
            </w:pPr>
            <w:r>
              <w:rPr>
                <w:rFonts w:ascii="Arial" w:hAnsi="Arial" w:cs="Arial" w:eastAsia="Arial"/>
                <w:color w:val="0E1E3A"/>
                <w:sz w:val="17"/>
                <w:szCs w:val="17"/>
              </w:rPr>
              <w:t>-3.60%</w:t>
            </w:r>
          </w:p>
        </w:tc>
      </w:tr>
    </w:tbl>
    <w:p>
      <w:pPr>
        <w:spacing w:before="0" w:after="40" w:line="300" w:lineRule="auto"/>
      </w:pPr>
    </w:p>
    <w:p>
      <w:pPr>
        <w:spacing w:before="0" w:after="80" w:line="312" w:lineRule="auto"/>
      </w:pPr>
      <w:r>
        <w:rPr>
          <w:rFonts w:ascii="Arial" w:hAnsi="Arial" w:cs="Arial" w:eastAsia="Arial"/>
          <w:color w:val="5A6478"/>
          <w:sz w:val="17"/>
          <w:szCs w:val="17"/>
        </w:rPr>
        <w:t>*NAV/Unit excluding dividend distributions for the specified period.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5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5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 TO NET ASSET VALUE PER UNIT (FUND PERFORMANCE)*</w:t>
            </w:r>
          </w:p>
        </w:tc>
        <w:tc>
          <w:tcPr>
            <w:tcW w:type="dxa" w:w="1663"/>
          </w:tcPr>
          <w:p>
            <w:pPr>
              <w:spacing w:before="0" w:after="0" w:line="264" w:lineRule="auto"/>
            </w:pPr>
            <w:r>
              <w:rPr>
                <w:rFonts w:ascii="Arial" w:hAnsi="Arial" w:cs="Arial" w:eastAsia="Arial"/>
                <w:color w:val="0E1E3A"/>
                <w:sz w:val="17"/>
                <w:szCs w:val="17"/>
              </w:rPr>
              <w:t>-3.06%</w:t>
            </w:r>
          </w:p>
        </w:tc>
        <w:tc>
          <w:tcPr>
            <w:tcW w:type="dxa" w:w="1663"/>
          </w:tcPr>
          <w:p>
            <w:pPr>
              <w:spacing w:before="0" w:after="0" w:line="264" w:lineRule="auto"/>
            </w:pPr>
            <w:r>
              <w:rPr>
                <w:rFonts w:ascii="Arial" w:hAnsi="Arial" w:cs="Arial" w:eastAsia="Arial"/>
                <w:color w:val="0E1E3A"/>
                <w:sz w:val="17"/>
                <w:szCs w:val="17"/>
              </w:rPr>
              <w:t>11.85%</w:t>
            </w:r>
          </w:p>
        </w:tc>
        <w:tc>
          <w:tcPr>
            <w:tcW w:type="dxa" w:w="1663"/>
          </w:tcPr>
          <w:p>
            <w:pPr>
              <w:spacing w:before="0" w:after="0" w:line="264" w:lineRule="auto"/>
            </w:pPr>
            <w:r>
              <w:rPr>
                <w:rFonts w:ascii="Arial" w:hAnsi="Arial" w:cs="Arial" w:eastAsia="Arial"/>
                <w:color w:val="0E1E3A"/>
                <w:sz w:val="17"/>
                <w:szCs w:val="17"/>
              </w:rPr>
              <w:t>11.85%</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-3.60%</w:t>
            </w:r>
          </w:p>
        </w:tc>
        <w:tc>
          <w:tcPr>
            <w:tcW w:type="dxa" w:w="1663"/>
          </w:tcPr>
          <w:p>
            <w:pPr>
              <w:spacing w:before="0" w:after="0" w:line="264" w:lineRule="auto"/>
            </w:pPr>
            <w:r>
              <w:rPr>
                <w:rFonts w:ascii="Arial" w:hAnsi="Arial" w:cs="Arial" w:eastAsia="Arial"/>
                <w:color w:val="0E1E3A"/>
                <w:sz w:val="17"/>
                <w:szCs w:val="17"/>
              </w:rPr>
              <w:t>11.01%</w:t>
            </w:r>
          </w:p>
        </w:tc>
        <w:tc>
          <w:tcPr>
            <w:tcW w:type="dxa" w:w="1663"/>
          </w:tcPr>
          <w:p>
            <w:pPr>
              <w:spacing w:before="0" w:after="0" w:line="264" w:lineRule="auto"/>
            </w:pPr>
            <w:r>
              <w:rPr>
                <w:rFonts w:ascii="Arial" w:hAnsi="Arial" w:cs="Arial" w:eastAsia="Arial"/>
                <w:color w:val="0E1E3A"/>
                <w:sz w:val="17"/>
                <w:szCs w:val="17"/>
              </w:rPr>
              <w:t>11.01%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0.54%</w:t>
            </w:r>
          </w:p>
        </w:tc>
        <w:tc>
          <w:tcPr>
            <w:tcW w:type="dxa" w:w="1663"/>
          </w:tcPr>
          <w:p>
            <w:pPr>
              <w:spacing w:before="0" w:after="0" w:line="264" w:lineRule="auto"/>
            </w:pPr>
            <w:r>
              <w:rPr>
                <w:rFonts w:ascii="Arial" w:hAnsi="Arial" w:cs="Arial" w:eastAsia="Arial"/>
                <w:color w:val="0E1E3A"/>
                <w:sz w:val="17"/>
                <w:szCs w:val="17"/>
              </w:rPr>
              <w:t>0.84%</w:t>
            </w:r>
          </w:p>
        </w:tc>
        <w:tc>
          <w:tcPr>
            <w:tcW w:type="dxa" w:w="1663"/>
          </w:tcPr>
          <w:p>
            <w:pPr>
              <w:spacing w:before="0" w:after="0" w:line="264" w:lineRule="auto"/>
            </w:pPr>
            <w:r>
              <w:rPr>
                <w:rFonts w:ascii="Arial" w:hAnsi="Arial" w:cs="Arial" w:eastAsia="Arial"/>
                <w:color w:val="0E1E3A"/>
                <w:sz w:val="17"/>
                <w:szCs w:val="17"/>
              </w:rPr>
              <w:t>0.84%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Total Return = NAV per Unit Price Performance plus Dividends (Including dividend distributions of SAR 0.60 during the third quarter).</w:t>
      </w:r>
      <w:r>
        <w:br/>
      </w:r>
      <w:r>
        <w:rPr>
          <w:rFonts w:ascii="Arial" w:hAnsi="Arial" w:cs="Arial" w:eastAsia="Arial"/>
          <w:color w:val="5A6478"/>
          <w:sz w:val="17"/>
          <w:szCs w:val="17"/>
        </w:rPr>
        <w:t>** For the period from 31 December 2023 to 30 September 2024.</w:t>
      </w:r>
      <w:r>
        <w:br/>
      </w:r>
      <w:r>
        <w:rPr>
          <w:rFonts w:ascii="Arial" w:hAnsi="Arial" w:cs="Arial" w:eastAsia="Arial"/>
          <w:color w:val="5A6478"/>
          <w:sz w:val="17"/>
          <w:szCs w:val="17"/>
        </w:rPr>
        <w:t>*** For the period from 28 September 2023 to 30 September 2024, including cash distributions of SAR 1.715 (0.60 + 0.185 + 0.93).</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59"/>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REPORTING QUARTER</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 (YTD)</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DEVIATION1</w:t>
            </w:r>
          </w:p>
        </w:tc>
        <w:tc>
          <w:tcPr>
            <w:tcW w:type="dxa" w:w="1663"/>
          </w:tcPr>
          <w:p>
            <w:pPr>
              <w:spacing w:before="0" w:after="0" w:line="264" w:lineRule="auto"/>
            </w:pPr>
            <w:r>
              <w:rPr>
                <w:rFonts w:ascii="Arial" w:hAnsi="Arial" w:cs="Arial" w:eastAsia="Arial"/>
                <w:color w:val="0E1E3A"/>
                <w:sz w:val="17"/>
                <w:szCs w:val="17"/>
              </w:rPr>
              <w:t>9.28</w:t>
            </w:r>
          </w:p>
        </w:tc>
        <w:tc>
          <w:tcPr>
            <w:tcW w:type="dxa" w:w="1663"/>
          </w:tcPr>
          <w:p>
            <w:pPr>
              <w:spacing w:before="0" w:after="0" w:line="264" w:lineRule="auto"/>
            </w:pPr>
            <w:r>
              <w:rPr>
                <w:rFonts w:ascii="Arial" w:hAnsi="Arial" w:cs="Arial" w:eastAsia="Arial"/>
                <w:color w:val="0E1E3A"/>
                <w:sz w:val="17"/>
                <w:szCs w:val="17"/>
              </w:rPr>
              <w:t>12.69</w:t>
            </w:r>
          </w:p>
        </w:tc>
        <w:tc>
          <w:tcPr>
            <w:tcW w:type="dxa" w:w="1663"/>
          </w:tcPr>
          <w:p>
            <w:pPr>
              <w:spacing w:before="0" w:after="0" w:line="264" w:lineRule="auto"/>
            </w:pPr>
            <w:r>
              <w:rPr>
                <w:rFonts w:ascii="Arial" w:hAnsi="Arial" w:cs="Arial" w:eastAsia="Arial"/>
                <w:color w:val="0E1E3A"/>
                <w:sz w:val="17"/>
                <w:szCs w:val="17"/>
              </w:rPr>
              <w:t>12.69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RATIO2</w:t>
            </w:r>
          </w:p>
        </w:tc>
        <w:tc>
          <w:tcPr>
            <w:tcW w:type="dxa" w:w="1663"/>
          </w:tcPr>
          <w:p>
            <w:pPr>
              <w:spacing w:before="0" w:after="0" w:line="264" w:lineRule="auto"/>
            </w:pPr>
            <w:r>
              <w:rPr>
                <w:rFonts w:ascii="Arial" w:hAnsi="Arial" w:cs="Arial" w:eastAsia="Arial"/>
                <w:color w:val="0E1E3A"/>
                <w:sz w:val="17"/>
                <w:szCs w:val="17"/>
              </w:rPr>
              <w:t>(1.78)</w:t>
            </w:r>
          </w:p>
        </w:tc>
        <w:tc>
          <w:tcPr>
            <w:tcW w:type="dxa" w:w="1663"/>
          </w:tcPr>
          <w:p>
            <w:pPr>
              <w:spacing w:before="0" w:after="0" w:line="264" w:lineRule="auto"/>
            </w:pPr>
            <w:r>
              <w:rPr>
                <w:rFonts w:ascii="Arial" w:hAnsi="Arial" w:cs="Arial" w:eastAsia="Arial"/>
                <w:color w:val="0E1E3A"/>
                <w:sz w:val="17"/>
                <w:szCs w:val="17"/>
              </w:rPr>
              <w:t>0.54</w:t>
            </w:r>
          </w:p>
        </w:tc>
        <w:tc>
          <w:tcPr>
            <w:tcW w:type="dxa" w:w="1663"/>
          </w:tcPr>
          <w:p>
            <w:pPr>
              <w:spacing w:before="0" w:after="0" w:line="264" w:lineRule="auto"/>
            </w:pPr>
            <w:r>
              <w:rPr>
                <w:rFonts w:ascii="Arial" w:hAnsi="Arial" w:cs="Arial" w:eastAsia="Arial"/>
                <w:color w:val="0E1E3A"/>
                <w:sz w:val="17"/>
                <w:szCs w:val="17"/>
              </w:rPr>
              <w:t>0.54</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ERROR3</w:t>
            </w:r>
          </w:p>
        </w:tc>
        <w:tc>
          <w:tcPr>
            <w:tcW w:type="dxa" w:w="1663"/>
          </w:tcPr>
          <w:p>
            <w:pPr>
              <w:spacing w:before="0" w:after="0" w:line="264" w:lineRule="auto"/>
            </w:pPr>
            <w:r>
              <w:rPr>
                <w:rFonts w:ascii="Arial" w:hAnsi="Arial" w:cs="Arial" w:eastAsia="Arial"/>
                <w:color w:val="0E1E3A"/>
                <w:sz w:val="17"/>
                <w:szCs w:val="17"/>
              </w:rPr>
              <w:t>1.55</w:t>
            </w:r>
          </w:p>
        </w:tc>
        <w:tc>
          <w:tcPr>
            <w:tcW w:type="dxa" w:w="1663"/>
          </w:tcPr>
          <w:p>
            <w:pPr>
              <w:spacing w:before="0" w:after="0" w:line="264" w:lineRule="auto"/>
            </w:pPr>
            <w:r>
              <w:rPr>
                <w:rFonts w:ascii="Arial" w:hAnsi="Arial" w:cs="Arial" w:eastAsia="Arial"/>
                <w:color w:val="0E1E3A"/>
                <w:sz w:val="17"/>
                <w:szCs w:val="17"/>
              </w:rPr>
              <w:t>8.39</w:t>
            </w:r>
          </w:p>
        </w:tc>
        <w:tc>
          <w:tcPr>
            <w:tcW w:type="dxa" w:w="1663"/>
          </w:tcPr>
          <w:p>
            <w:pPr>
              <w:spacing w:before="0" w:after="0" w:line="264" w:lineRule="auto"/>
            </w:pPr>
            <w:r>
              <w:rPr>
                <w:rFonts w:ascii="Arial" w:hAnsi="Arial" w:cs="Arial" w:eastAsia="Arial"/>
                <w:color w:val="0E1E3A"/>
                <w:sz w:val="17"/>
                <w:szCs w:val="17"/>
              </w:rPr>
              <w:t>8.39</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BETA4</w:t>
            </w:r>
          </w:p>
        </w:tc>
        <w:tc>
          <w:tcPr>
            <w:tcW w:type="dxa" w:w="1663"/>
          </w:tcPr>
          <w:p>
            <w:pPr>
              <w:spacing w:before="0" w:after="0" w:line="264" w:lineRule="auto"/>
            </w:pPr>
            <w:r>
              <w:rPr>
                <w:rFonts w:ascii="Arial" w:hAnsi="Arial" w:cs="Arial" w:eastAsia="Arial"/>
                <w:color w:val="0E1E3A"/>
                <w:sz w:val="17"/>
                <w:szCs w:val="17"/>
              </w:rPr>
              <w:t>0.93</w:t>
            </w:r>
          </w:p>
        </w:tc>
        <w:tc>
          <w:tcPr>
            <w:tcW w:type="dxa" w:w="1663"/>
          </w:tcPr>
          <w:p>
            <w:pPr>
              <w:spacing w:before="0" w:after="0" w:line="264" w:lineRule="auto"/>
            </w:pPr>
            <w:r>
              <w:rPr>
                <w:rFonts w:ascii="Arial" w:hAnsi="Arial" w:cs="Arial" w:eastAsia="Arial"/>
                <w:color w:val="0E1E3A"/>
                <w:sz w:val="17"/>
                <w:szCs w:val="17"/>
              </w:rPr>
              <w:t>0.90</w:t>
            </w:r>
          </w:p>
        </w:tc>
        <w:tc>
          <w:tcPr>
            <w:tcW w:type="dxa" w:w="1663"/>
          </w:tcPr>
          <w:p>
            <w:pPr>
              <w:spacing w:before="0" w:after="0" w:line="264" w:lineRule="auto"/>
            </w:pPr>
            <w:r>
              <w:rPr>
                <w:rFonts w:ascii="Arial" w:hAnsi="Arial" w:cs="Arial" w:eastAsia="Arial"/>
                <w:color w:val="0E1E3A"/>
                <w:sz w:val="17"/>
                <w:szCs w:val="17"/>
              </w:rPr>
              <w:t>0.90</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ALPHA5</w:t>
            </w:r>
          </w:p>
        </w:tc>
        <w:tc>
          <w:tcPr>
            <w:tcW w:type="dxa" w:w="1663"/>
          </w:tcPr>
          <w:p>
            <w:pPr>
              <w:spacing w:before="0" w:after="0" w:line="264" w:lineRule="auto"/>
            </w:pPr>
            <w:r>
              <w:rPr>
                <w:rFonts w:ascii="Arial" w:hAnsi="Arial" w:cs="Arial" w:eastAsia="Arial"/>
                <w:color w:val="0E1E3A"/>
                <w:sz w:val="17"/>
                <w:szCs w:val="17"/>
              </w:rPr>
              <w:t>1.95%</w:t>
            </w:r>
          </w:p>
        </w:tc>
        <w:tc>
          <w:tcPr>
            <w:tcW w:type="dxa" w:w="1663"/>
          </w:tcPr>
          <w:p>
            <w:pPr>
              <w:spacing w:before="0" w:after="0" w:line="264" w:lineRule="auto"/>
            </w:pPr>
            <w:r>
              <w:rPr>
                <w:rFonts w:ascii="Arial" w:hAnsi="Arial" w:cs="Arial" w:eastAsia="Arial"/>
                <w:color w:val="0E1E3A"/>
                <w:sz w:val="17"/>
                <w:szCs w:val="17"/>
              </w:rPr>
              <w:t>0.92%</w:t>
            </w:r>
          </w:p>
        </w:tc>
        <w:tc>
          <w:tcPr>
            <w:tcW w:type="dxa" w:w="1663"/>
          </w:tcPr>
          <w:p>
            <w:pPr>
              <w:spacing w:before="0" w:after="0" w:line="264" w:lineRule="auto"/>
            </w:pPr>
            <w:r>
              <w:rPr>
                <w:rFonts w:ascii="Arial" w:hAnsi="Arial" w:cs="Arial" w:eastAsia="Arial"/>
                <w:color w:val="0E1E3A"/>
                <w:sz w:val="17"/>
                <w:szCs w:val="17"/>
              </w:rPr>
              <w:t>0.92%</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RATIO6</w:t>
            </w:r>
          </w:p>
        </w:tc>
        <w:tc>
          <w:tcPr>
            <w:tcW w:type="dxa" w:w="1663"/>
          </w:tcPr>
          <w:p>
            <w:pPr>
              <w:spacing w:before="0" w:after="0" w:line="264" w:lineRule="auto"/>
            </w:pPr>
            <w:r>
              <w:rPr>
                <w:rFonts w:ascii="Arial" w:hAnsi="Arial" w:cs="Arial" w:eastAsia="Arial"/>
                <w:color w:val="0E1E3A"/>
                <w:sz w:val="17"/>
                <w:szCs w:val="17"/>
              </w:rPr>
              <w:t>1.26</w:t>
            </w:r>
          </w:p>
        </w:tc>
        <w:tc>
          <w:tcPr>
            <w:tcW w:type="dxa" w:w="1663"/>
          </w:tcPr>
          <w:p>
            <w:pPr>
              <w:spacing w:before="0" w:after="0" w:line="264" w:lineRule="auto"/>
            </w:pPr>
            <w:r>
              <w:rPr>
                <w:rFonts w:ascii="Arial" w:hAnsi="Arial" w:cs="Arial" w:eastAsia="Arial"/>
                <w:color w:val="0E1E3A"/>
                <w:sz w:val="17"/>
                <w:szCs w:val="17"/>
              </w:rPr>
              <w:t>0.11</w:t>
            </w:r>
          </w:p>
        </w:tc>
        <w:tc>
          <w:tcPr>
            <w:tcW w:type="dxa" w:w="1663"/>
          </w:tcPr>
          <w:p>
            <w:pPr>
              <w:spacing w:before="0" w:after="0" w:line="264" w:lineRule="auto"/>
            </w:pPr>
            <w:r>
              <w:rPr>
                <w:rFonts w:ascii="Arial" w:hAnsi="Arial" w:cs="Arial" w:eastAsia="Arial"/>
                <w:color w:val="0E1E3A"/>
                <w:sz w:val="17"/>
                <w:szCs w:val="17"/>
              </w:rPr>
              <w:t>0.11</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1.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2. Sharpe Ratio is a risk-adjusted performance measure. It is calculated as the difference of the Fund Manager excess return over the risk-free rate, divided by the Standard Deviation. The greater a portfolio's Sharpe</w:t>
      </w:r>
      <w:r>
        <w:br/>
      </w:r>
      <w:r>
        <w:rPr>
          <w:rFonts w:ascii="Arial" w:hAnsi="Arial" w:cs="Arial" w:eastAsia="Arial"/>
          <w:color w:val="5A6478"/>
          <w:sz w:val="17"/>
          <w:szCs w:val="17"/>
        </w:rPr>
        <w:t>Ratio, the better its risk-adjusted performance.</w:t>
      </w:r>
      <w:r>
        <w:br/>
      </w:r>
      <w:r>
        <w:rPr>
          <w:rFonts w:ascii="Arial" w:hAnsi="Arial" w:cs="Arial" w:eastAsia="Arial"/>
          <w:color w:val="5A6478"/>
          <w:sz w:val="17"/>
          <w:szCs w:val="17"/>
        </w:rPr>
        <w:t>3. Tracking Error is a measure of risks. It is calculated as the Standard Deviation between the Fund Manager's return and the Benchmark's return. The lower the Tracking Error, the lower the Fund Manager deviates</w:t>
      </w:r>
      <w:r>
        <w:br/>
      </w:r>
      <w:r>
        <w:rPr>
          <w:rFonts w:ascii="Arial" w:hAnsi="Arial" w:cs="Arial" w:eastAsia="Arial"/>
          <w:color w:val="5A6478"/>
          <w:sz w:val="17"/>
          <w:szCs w:val="17"/>
        </w:rPr>
        <w:t>from the Benchmark.</w:t>
      </w:r>
      <w:r>
        <w:br/>
      </w:r>
      <w:r>
        <w:rPr>
          <w:rFonts w:ascii="Arial" w:hAnsi="Arial" w:cs="Arial" w:eastAsia="Arial"/>
          <w:color w:val="5A6478"/>
          <w:sz w:val="17"/>
          <w:szCs w:val="17"/>
        </w:rPr>
        <w:t>4.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5. Alpha measures any excess return achieved by the Fund compared to the performance of the index.</w:t>
      </w:r>
      <w:r>
        <w:br/>
      </w:r>
      <w:r>
        <w:rPr>
          <w:rFonts w:ascii="Arial" w:hAnsi="Arial" w:cs="Arial" w:eastAsia="Arial"/>
          <w:color w:val="5A6478"/>
          <w:sz w:val="17"/>
          <w:szCs w:val="17"/>
        </w:rPr>
        <w:t>6. Information Ratio is a risk-adjusted performance measure. It is calculated as the active return of the Fund Manager, divided by its tracking error. The higher the Information ratio, the higher the Fund Manager ability</w:t>
      </w:r>
      <w:r>
        <w:br/>
      </w:r>
      <w:r>
        <w:rPr>
          <w:rFonts w:ascii="Arial" w:hAnsi="Arial" w:cs="Arial" w:eastAsia="Arial"/>
          <w:color w:val="5A6478"/>
          <w:sz w:val="17"/>
          <w:szCs w:val="17"/>
        </w:rPr>
        <w:t>to generate excess returns per Unit of excess risk.</w:t>
      </w:r>
      <w:r>
        <w:br/>
      </w:r>
      <w:r>
        <w:rPr>
          <w:rFonts w:ascii="Arial" w:hAnsi="Arial" w:cs="Arial" w:eastAsia="Arial"/>
          <w:color w:val="5A6478"/>
          <w:sz w:val="17"/>
          <w:szCs w:val="17"/>
        </w:rPr>
        <w:t>The performance and risk parameters were calculated based on the Unit's net value.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6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As of August 29, 2024, the Unitholders approved the buyback of up to 20 million Units, or 20% of the total number of Fund Units upon offering within a period of 12 months. The Unitholders also approved the amendment of the dividend distribution policy and giving the Fund Manager the right to appoint a market maker.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61"/>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GLOBAL MARKETS</w:t>
      </w:r>
    </w:p>
    <w:p>
      <w:pPr>
        <w:spacing w:before="0" w:after="80" w:line="312" w:lineRule="auto"/>
      </w:pPr>
      <w:r>
        <w:rPr>
          <w:rFonts w:ascii="Arial" w:hAnsi="Arial" w:cs="Arial" w:eastAsia="Arial"/>
          <w:color w:val="0E1E3A"/>
          <w:sz w:val="20"/>
          <w:szCs w:val="20"/>
        </w:rPr>
        <w:t>In Q4 2024, global equity markets witnessed some fluctuation due to the US presidential elections, geopolitical concerns, persistent inflation and fears of slower growth affecting the markets. Nevertheless, strong consumer spending, the US Fed’s decrease of interest rates by 75 basis points and the strong growth of corporate profits helped stabilize markets.</w:t>
      </w:r>
    </w:p>
    <w:p>
      <w:pPr>
        <w:spacing w:before="0" w:after="80" w:line="312" w:lineRule="auto"/>
      </w:pPr>
      <w:r>
        <w:rPr>
          <w:rFonts w:ascii="Arial" w:hAnsi="Arial" w:cs="Arial" w:eastAsia="Arial"/>
          <w:color w:val="0E1E3A"/>
          <w:sz w:val="20"/>
          <w:szCs w:val="20"/>
        </w:rPr>
        <w:t>Also in Q4 2024, Alkhabeer Global Equity Index dropped by 3.60%, while recording an 11.01% increase YTD.</w:t>
      </w:r>
    </w:p>
    <w:p>
      <w:pPr>
        <w:spacing w:before="0" w:after="80" w:line="312" w:lineRule="auto"/>
      </w:pPr>
      <w:r>
        <w:rPr>
          <w:rFonts w:ascii="Arial" w:hAnsi="Arial" w:cs="Arial" w:eastAsia="Arial"/>
          <w:color w:val="0E1E3A"/>
          <w:sz w:val="20"/>
          <w:szCs w:val="20"/>
        </w:rPr>
        <w:t>The US Market remained solid supported by strong corporate profits, high consumer spending and the US Fed’s decrease of interest rates, while European and emerging markets came under pressure due to declining economic indices and exchange rate fluctuations. Meanwhile, China announced a major stimulus package to prop up its economic growth.</w:t>
      </w:r>
    </w:p>
    <w:p>
      <w:pPr>
        <w:spacing w:before="0" w:after="80" w:line="312" w:lineRule="auto"/>
      </w:pPr>
      <w:r>
        <w:rPr>
          <w:rFonts w:ascii="Arial" w:hAnsi="Arial" w:cs="Arial" w:eastAsia="Arial"/>
          <w:color w:val="0E1E3A"/>
          <w:sz w:val="20"/>
          <w:szCs w:val="20"/>
        </w:rPr>
        <w:t>The latest IMF World Economic Outlook forecasts 2025 global GDP growth by 3.2%, with advanced economies projected to grow by 1.8%, and emerging markets by 4.2% in 2025.</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62"/>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NET UNIT VALUE PERFORMANCE COMPARED TO THE BENCHMARK SINCE THE INCEPTION OF THE FUND</w:t>
      </w:r>
    </w:p>
    <w:p>
      <w:pPr>
        <w:spacing w:before="0" w:after="80" w:line="240" w:lineRule="auto"/>
        <w:jc w:val="center"/>
      </w:pPr>
      <w:r>
        <w:drawing>
          <wp:inline xmlns:a="http://schemas.openxmlformats.org/drawingml/2006/main" xmlns:pic="http://schemas.openxmlformats.org/drawingml/2006/picture">
            <wp:extent cx="6336000" cy="3072864"/>
            <wp:docPr id="28" name="Picture 9063"/>
            <wp:cNvGraphicFramePr>
              <a:graphicFrameLocks noChangeAspect="1"/>
            </wp:cNvGraphicFramePr>
            <a:graphic>
              <a:graphicData uri="http://schemas.openxmlformats.org/drawingml/2006/picture">
                <pic:pic>
                  <pic:nvPicPr>
                    <pic:cNvPr id="0" name="x7.j.jpg"/>
                    <pic:cNvPicPr/>
                  </pic:nvPicPr>
                  <pic:blipFill>
                    <a:blip r:embed="rId24"/>
                    <a:stretch>
                      <a:fillRect/>
                    </a:stretch>
                  </pic:blipFill>
                  <pic:spPr>
                    <a:xfrm>
                      <a:off x="0" y="0"/>
                      <a:ext cx="6336000" cy="3072864"/>
                    </a:xfrm>
                    <a:prstGeom prst="rect"/>
                  </pic:spPr>
                </pic:pic>
              </a:graphicData>
            </a:graphic>
          </wp:inline>
        </w:drawing>
      </w:r>
    </w:p>
    <w:p>
      <w:pPr>
        <w:spacing w:before="0" w:after="80" w:line="312" w:lineRule="auto"/>
      </w:pPr>
      <w:r>
        <w:rPr>
          <w:rFonts w:ascii="Arial" w:hAnsi="Arial" w:cs="Arial" w:eastAsia="Arial"/>
          <w:color w:val="5A6478"/>
          <w:sz w:val="17"/>
          <w:szCs w:val="17"/>
        </w:rPr>
        <w:t>As at 31 December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9" name="Picture 9064"/>
            <wp:cNvGraphicFramePr>
              <a:graphicFrameLocks noChangeAspect="1"/>
            </wp:cNvGraphicFramePr>
            <a:graphic>
              <a:graphicData uri="http://schemas.openxmlformats.org/drawingml/2006/picture">
                <pic:pic>
                  <pic:nvPicPr>
                    <pic:cNvPr id="0" name="ico_8eba3796ad497c7a142d47da7c90fea0.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0" name="Picture 9065"/>
            <wp:cNvGraphicFramePr>
              <a:graphicFrameLocks noChangeAspect="1"/>
            </wp:cNvGraphicFramePr>
            <a:graphic>
              <a:graphicData uri="http://schemas.openxmlformats.org/drawingml/2006/picture">
                <pic:pic>
                  <pic:nvPicPr>
                    <pic:cNvPr id="0" name="ico_31799530e5dd3dc5b4ca7f2d37945432.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Growth and Income Traded Fund, nor shall it (or any part of it) form the basis of, or be relied on, in connection with, or act as inducement to enter into any contract whatsoever. Prospective investors should read carefully Alkhabeer Growth and Income Traded Fund’s Terms and Conditions and their contents related to investment risks, as well as other Alkhabeer Growth and Income Traded Fund documents prior to making any investment decision. Alkhabeer Growth and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Growth and Income Traded Fund is not a guarantee of the Fund’s future results. By investing in the Fund, the investor acknowledges having read and accepted Alkhabeer Growth and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jpg"/><Relationship Id="rId25" Type="http://schemas.openxmlformats.org/officeDocument/2006/relationships/image" Target="media/image13.png"/><Relationship Id="rId26"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Growth &amp; Income Fund — Quarterly Statement Q4 2024</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