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8"/>
            <wp:cNvGraphicFramePr/>
            <a:graphic>
              <a:graphicData uri="http://schemas.openxmlformats.org/drawingml/2006/picture">
                <pic:pic>
                  <pic:nvPicPr>
                    <pic:cNvPr id="9038" name="banner9038.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يركز مدير الصندوق على الاستثمار في محفظة متنوعة من الأسهم العالمية، حيث تشمل استثمارات الصندوق الاستثمار في أسهم الشركات بكافة قطاعاتها، والمتداولة في الأسواق العالمية؛ ومن بينها المملكة العربية السعودية، والواليات المتحدة الامريكية، وجمهورية الصين الشعبية، واليابان، وسويسرا، والمملكة المتحدة البريطانية، وفرنسا، وألمانيا، وكندا. وسيتم الاستثمار في تلك الأسواق طبقًا لعملة كل بلد. بالإضافة إلى ذلك، سيقوم مدير الصندوق بالاستثمار في صناديق الأسهم العامة والخاصة والتي تدار منِقبل مديري صناديق مرخص لهم منِقبل الهيئة، أو جهة مماثلة في حال الاستثمار خارج المملكة العربية السعودية، حيث تشمل هذه الصناديق أسهم شركات ذات قيم سوقية مختلفة في دول وقطاعات متنوعة. كما ينوي مدير الصندوق الاستثمار في الطروحات الأولية للاكتتاب العام، والتي سيتم إدراجها في أسواق الأسهم المختلفة، بالإضافة إلى الاكتتاب في زيادات رأس المال للشركات المدرجة، والشركات غير المدرجة المقبلة على الطرح الأولي للاكتتاب العام من خلال المساهمة في الطروحات الخاصة المقبلة على الطرح الأولي للاكتتاب العام، والنقد وما في حكمه، المتوافقة مع الأحكام الشرعية ومبادئها، لتحقيق نمو طويل الأجل، وتحقيق دخل دوري من عوائد الأسهم والأرباح على رأس المال.</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10.9786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w:t>
            </w:r>
          </w:p>
        </w:tc>
        <w:tc>
          <w:tcPr>
            <w:tcW w:type="dxa" w:w="6860"/>
          </w:tcPr>
          <w:p>
            <w:pPr>
              <w:bidi w:val="1"/>
              <w:spacing w:before="0" w:after="0" w:line="276" w:lineRule="auto"/>
            </w:pPr>
            <w:r>
              <w:rPr>
                <w:rFonts w:ascii="Arial" w:hAnsi="Arial" w:cs="Arial" w:eastAsia="Arial"/>
                <w:b/>
                <w:bCs/>
                <w:color w:val="0E1E3A"/>
                <w:sz w:val="18"/>
                <w:szCs w:val="18"/>
                <w:rtl/>
              </w:rPr>
              <w:t>706,228,090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 (إن وُجد)</w:t>
            </w:r>
          </w:p>
        </w:tc>
        <w:tc>
          <w:tcPr>
            <w:tcW w:type="dxa" w:w="6860"/>
          </w:tcPr>
          <w:p>
            <w:pPr>
              <w:bidi w:val="1"/>
              <w:spacing w:before="0" w:after="0" w:line="276" w:lineRule="auto"/>
            </w:pPr>
            <w:r>
              <w:rPr>
                <w:rFonts w:ascii="Arial" w:hAnsi="Arial" w:cs="Arial" w:eastAsia="Arial"/>
                <w:b/>
                <w:bCs/>
                <w:color w:val="0E1E3A"/>
                <w:sz w:val="18"/>
                <w:szCs w:val="18"/>
                <w:rtl/>
              </w:rPr>
              <w:t>بشكل نصف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 (إن وُجد)</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أصول الصندوق كما في تاريخ 31 ديسمبر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و 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pStyle w:val="Heading3"/>
        <w:keepNext/>
        <w:bidi w:val="1"/>
        <w:spacing w:before="160" w:after="100" w:line="300" w:lineRule="auto"/>
      </w:pPr>
      <w:r>
        <w:rPr>
          <w:rFonts w:ascii="Arial" w:hAnsi="Arial" w:cs="Arial" w:eastAsia="Arial"/>
          <w:b/>
          <w:bCs/>
          <w:color w:val="12284B"/>
          <w:sz w:val="22"/>
          <w:szCs w:val="22"/>
          <w:rtl/>
        </w:rPr>
        <w:t>تحديث الأسواق العالمية</w:t>
      </w:r>
    </w:p>
    <w:p>
      <w:pPr>
        <w:bidi w:val="1"/>
        <w:spacing w:before="0" w:after="80" w:line="312" w:lineRule="auto"/>
      </w:pPr>
      <w:r>
        <w:rPr>
          <w:rFonts w:ascii="Arial" w:hAnsi="Arial" w:cs="Arial" w:eastAsia="Arial"/>
          <w:color w:val="0E1E3A"/>
          <w:sz w:val="20"/>
          <w:szCs w:val="20"/>
          <w:rtl/>
        </w:rPr>
        <w:t>أنهت أسواق الأسهم العالمية الربع الرابع من العام 2025م على أداء إيجابي، مدعومة بمتانة أرباح الشركات، وتراجع ضغوط التضخم، والتحول نحو سياسة نقدية أكثر تيسيرًا من قبل البنوك المركزية الكبرى. وعلى الرغم من استمرار التوترات الجيوسياسية وحالة عدم اليقين المرتبطة بالسياسات التجارية، ظّلت معنويات الأسواق إيجابية بشكل عام خلال الربع.</w:t>
      </w:r>
    </w:p>
    <w:p>
      <w:pPr>
        <w:bidi w:val="1"/>
        <w:spacing w:before="0" w:after="80" w:line="312" w:lineRule="auto"/>
      </w:pPr>
      <w:r>
        <w:rPr>
          <w:rFonts w:ascii="Arial" w:hAnsi="Arial" w:cs="Arial" w:eastAsia="Arial"/>
          <w:color w:val="0E1E3A"/>
          <w:sz w:val="20"/>
          <w:szCs w:val="20"/>
          <w:rtl/>
        </w:rPr>
        <w:t>حقق مؤشر "الخبير للأسهم العالمية" ارتفاعًا بنسبة +</w:t>
      </w:r>
      <w:r>
        <w:rPr>
          <w:rFonts w:ascii="Arial" w:hAnsi="Arial" w:cs="Arial" w:eastAsia="Arial"/>
          <w:color w:val="0E1E3A"/>
          <w:sz w:val="20"/>
          <w:szCs w:val="20"/>
        </w:rPr>
        <w:t>‎5.26%‎</w:t>
      </w:r>
      <w:r>
        <w:rPr>
          <w:rFonts w:ascii="Arial" w:hAnsi="Arial" w:cs="Arial" w:eastAsia="Arial"/>
          <w:color w:val="0E1E3A"/>
          <w:sz w:val="20"/>
          <w:szCs w:val="20"/>
          <w:rtl/>
        </w:rPr>
        <w:t xml:space="preserve"> خلال الربع الرابع من العام 2025م، لترتفع بذلك نسبة أدائه السنوي للعام 2025م إلى +</w:t>
      </w:r>
      <w:r>
        <w:rPr>
          <w:rFonts w:ascii="Arial" w:hAnsi="Arial" w:cs="Arial" w:eastAsia="Arial"/>
          <w:color w:val="0E1E3A"/>
          <w:sz w:val="20"/>
          <w:szCs w:val="20"/>
        </w:rPr>
        <w:t>‎20.62%‎</w:t>
      </w:r>
      <w:r>
        <w:rPr>
          <w:rFonts w:ascii="Arial" w:hAnsi="Arial" w:cs="Arial" w:eastAsia="Arial"/>
          <w:color w:val="0E1E3A"/>
          <w:sz w:val="20"/>
          <w:szCs w:val="20"/>
          <w:rtl/>
        </w:rPr>
        <w:t>، ما يعكس الزخم القوي الذي شهدته أسواق الأسهم العالمية على مدار العام.</w:t>
      </w:r>
    </w:p>
    <w:p>
      <w:pPr>
        <w:bidi w:val="1"/>
        <w:spacing w:before="0" w:after="80" w:line="312" w:lineRule="auto"/>
      </w:pPr>
      <w:r>
        <w:rPr>
          <w:rFonts w:ascii="Arial" w:hAnsi="Arial" w:cs="Arial" w:eastAsia="Arial"/>
          <w:color w:val="0E1E3A"/>
          <w:sz w:val="20"/>
          <w:szCs w:val="20"/>
          <w:rtl/>
        </w:rPr>
        <w:t xml:space="preserve">واصل الاقتصاد الأمريكي إظهار مؤشرات تباطؤ معتدل، حيث ارتفعت نسبة البطالة إلى </w:t>
      </w:r>
      <w:r>
        <w:rPr>
          <w:rFonts w:ascii="Arial" w:hAnsi="Arial" w:cs="Arial" w:eastAsia="Arial"/>
          <w:color w:val="0E1E3A"/>
          <w:sz w:val="20"/>
          <w:szCs w:val="20"/>
        </w:rPr>
        <w:t>‎4.6%‎</w:t>
      </w:r>
      <w:r>
        <w:rPr>
          <w:rFonts w:ascii="Arial" w:hAnsi="Arial" w:cs="Arial" w:eastAsia="Arial"/>
          <w:color w:val="0E1E3A"/>
          <w:sz w:val="20"/>
          <w:szCs w:val="20"/>
          <w:rtl/>
        </w:rPr>
        <w:t xml:space="preserve">، في حين بلغ معدل التضخم </w:t>
      </w:r>
      <w:r>
        <w:rPr>
          <w:rFonts w:ascii="Arial" w:hAnsi="Arial" w:cs="Arial" w:eastAsia="Arial"/>
          <w:color w:val="0E1E3A"/>
          <w:sz w:val="20"/>
          <w:szCs w:val="20"/>
        </w:rPr>
        <w:t>‎2.7%‎</w:t>
      </w:r>
      <w:r>
        <w:rPr>
          <w:rFonts w:ascii="Arial" w:hAnsi="Arial" w:cs="Arial" w:eastAsia="Arial"/>
          <w:color w:val="0E1E3A"/>
          <w:sz w:val="20"/>
          <w:szCs w:val="20"/>
          <w:rtl/>
        </w:rPr>
        <w:t xml:space="preserve">، مواصلاً مساره التدريجي نحو الهدف طويل الأجل البالغ </w:t>
      </w:r>
      <w:r>
        <w:rPr>
          <w:rFonts w:ascii="Arial" w:hAnsi="Arial" w:cs="Arial" w:eastAsia="Arial"/>
          <w:color w:val="0E1E3A"/>
          <w:sz w:val="20"/>
          <w:szCs w:val="20"/>
        </w:rPr>
        <w:t>‎2%‎</w:t>
      </w:r>
      <w:r>
        <w:rPr>
          <w:rFonts w:ascii="Arial" w:hAnsi="Arial" w:cs="Arial" w:eastAsia="Arial"/>
          <w:color w:val="0E1E3A"/>
          <w:sz w:val="20"/>
          <w:szCs w:val="20"/>
          <w:rtl/>
        </w:rPr>
        <w:t>. وخلال شهر ديسمبر، قام الاحتياطي الفيدرالي الأمريكي بخفض أسعار الفائدة بمقدار 25 نقطة أساس، ليكون هذا الخفض الثالث خلال العام 2025م. وفي أوروبا، جاء أداء أسواق الأسهم متباينًا في ظل ظروف نمو اقتصادي ضعيفة نسبيًا. أما الأسواق الناشئة فقد استفادت من التقييمات الجذابة والإجراءات الداعمة للسياسات، بما في ذلك الدعم المالي في الصين واستمرار الطلب المحلي القوي في الهند.</w:t>
      </w:r>
    </w:p>
    <w:p>
      <w:pPr>
        <w:bidi w:val="1"/>
        <w:spacing w:before="0" w:after="80" w:line="312" w:lineRule="auto"/>
      </w:pPr>
      <w:r>
        <w:rPr>
          <w:rFonts w:ascii="Arial" w:hAnsi="Arial" w:cs="Arial" w:eastAsia="Arial"/>
          <w:color w:val="0E1E3A"/>
          <w:sz w:val="20"/>
          <w:szCs w:val="20"/>
          <w:rtl/>
        </w:rPr>
        <w:t>وقد تسهم التطورات الجيوسياسية وعدم اليقين المرتبط بالسياسات التجارية في استمرار تقلبات أسواق الأسهم. وفي المقابل، فإن أي تقدم إضافي في احتواء التضخم وتعديلات السياسات النقدية من قبل البنوك المركزية قد يوفر مزيدًا من الاستقرار للأسواق.</w:t>
      </w:r>
    </w:p>
    <w:p>
      <w:pPr>
        <w:bidi w:val="1"/>
        <w:spacing w:before="0" w:after="80" w:line="312" w:lineRule="auto"/>
      </w:pPr>
      <w:r>
        <w:rPr>
          <w:rFonts w:ascii="Arial" w:hAnsi="Arial" w:cs="Arial" w:eastAsia="Arial"/>
          <w:color w:val="0E1E3A"/>
          <w:sz w:val="20"/>
          <w:szCs w:val="20"/>
          <w:rtl/>
        </w:rPr>
        <w:t xml:space="preserve">وبحسب تقرير آفاق الاقتصاد العالمي الصادر عن صندوق النقد الدولي، من المتوقع أن يبلغ نمو الناتج المحلي الإجمالي العالمي </w:t>
      </w:r>
      <w:r>
        <w:rPr>
          <w:rFonts w:ascii="Arial" w:hAnsi="Arial" w:cs="Arial" w:eastAsia="Arial"/>
          <w:color w:val="0E1E3A"/>
          <w:sz w:val="20"/>
          <w:szCs w:val="20"/>
        </w:rPr>
        <w:t>‎3.2%‎</w:t>
      </w:r>
      <w:r>
        <w:rPr>
          <w:rFonts w:ascii="Arial" w:hAnsi="Arial" w:cs="Arial" w:eastAsia="Arial"/>
          <w:color w:val="0E1E3A"/>
          <w:sz w:val="20"/>
          <w:szCs w:val="20"/>
          <w:rtl/>
        </w:rPr>
        <w:t xml:space="preserve"> في العام 2025م، و </w:t>
      </w:r>
      <w:r>
        <w:rPr>
          <w:rFonts w:ascii="Arial" w:hAnsi="Arial" w:cs="Arial" w:eastAsia="Arial"/>
          <w:color w:val="0E1E3A"/>
          <w:sz w:val="20"/>
          <w:szCs w:val="20"/>
        </w:rPr>
        <w:t>‎3.1%‎</w:t>
      </w:r>
      <w:r>
        <w:rPr>
          <w:rFonts w:ascii="Arial" w:hAnsi="Arial" w:cs="Arial" w:eastAsia="Arial"/>
          <w:color w:val="0E1E3A"/>
          <w:sz w:val="20"/>
          <w:szCs w:val="20"/>
          <w:rtl/>
        </w:rPr>
        <w:t xml:space="preserve"> في العام 2026م، مع نمو الاقتصادات المتقدمة بنسبة </w:t>
      </w:r>
      <w:r>
        <w:rPr>
          <w:rFonts w:ascii="Arial" w:hAnsi="Arial" w:cs="Arial" w:eastAsia="Arial"/>
          <w:color w:val="0E1E3A"/>
          <w:sz w:val="20"/>
          <w:szCs w:val="20"/>
        </w:rPr>
        <w:t>‎1.6%‎</w:t>
      </w:r>
      <w:r>
        <w:rPr>
          <w:rFonts w:ascii="Arial" w:hAnsi="Arial" w:cs="Arial" w:eastAsia="Arial"/>
          <w:color w:val="0E1E3A"/>
          <w:sz w:val="20"/>
          <w:szCs w:val="20"/>
          <w:rtl/>
        </w:rPr>
        <w:t xml:space="preserve">، في حين يتجاوز نمو الأسواق الناشئة </w:t>
      </w:r>
      <w:r>
        <w:rPr>
          <w:rFonts w:ascii="Arial" w:hAnsi="Arial" w:cs="Arial" w:eastAsia="Arial"/>
          <w:color w:val="0E1E3A"/>
          <w:sz w:val="20"/>
          <w:szCs w:val="20"/>
        </w:rPr>
        <w:t>‎4%‎</w:t>
      </w:r>
      <w:r>
        <w:rPr>
          <w:rFonts w:ascii="Arial" w:hAnsi="Arial" w:cs="Arial" w:eastAsia="Arial"/>
          <w:color w:val="0E1E3A"/>
          <w:sz w:val="20"/>
          <w:szCs w:val="20"/>
          <w:rtl/>
        </w:rPr>
        <w:t xml:space="preserve">. ويُتوقع أن يبلغ معدل النمو الاقتصادي خلال السنة المالية 2026م نحو </w:t>
      </w:r>
      <w:r>
        <w:rPr>
          <w:rFonts w:ascii="Arial" w:hAnsi="Arial" w:cs="Arial" w:eastAsia="Arial"/>
          <w:color w:val="0E1E3A"/>
          <w:sz w:val="20"/>
          <w:szCs w:val="20"/>
        </w:rPr>
        <w:t>‎2.1%‎</w:t>
      </w:r>
      <w:r>
        <w:rPr>
          <w:rFonts w:ascii="Arial" w:hAnsi="Arial" w:cs="Arial" w:eastAsia="Arial"/>
          <w:color w:val="0E1E3A"/>
          <w:sz w:val="20"/>
          <w:szCs w:val="20"/>
          <w:rtl/>
        </w:rPr>
        <w:t xml:space="preserve"> في الولايات المتحدة، و </w:t>
      </w:r>
      <w:r>
        <w:rPr>
          <w:rFonts w:ascii="Arial" w:hAnsi="Arial" w:cs="Arial" w:eastAsia="Arial"/>
          <w:color w:val="0E1E3A"/>
          <w:sz w:val="20"/>
          <w:szCs w:val="20"/>
        </w:rPr>
        <w:t>‎1.3%‎</w:t>
      </w:r>
      <w:r>
        <w:rPr>
          <w:rFonts w:ascii="Arial" w:hAnsi="Arial" w:cs="Arial" w:eastAsia="Arial"/>
          <w:color w:val="0E1E3A"/>
          <w:sz w:val="20"/>
          <w:szCs w:val="20"/>
          <w:rtl/>
        </w:rPr>
        <w:t xml:space="preserve"> في المملكة المتحدة، و </w:t>
      </w:r>
      <w:r>
        <w:rPr>
          <w:rFonts w:ascii="Arial" w:hAnsi="Arial" w:cs="Arial" w:eastAsia="Arial"/>
          <w:color w:val="0E1E3A"/>
          <w:sz w:val="20"/>
          <w:szCs w:val="20"/>
        </w:rPr>
        <w:t>‎4.0%‎</w:t>
      </w:r>
      <w:r>
        <w:rPr>
          <w:rFonts w:ascii="Arial" w:hAnsi="Arial" w:cs="Arial" w:eastAsia="Arial"/>
          <w:color w:val="0E1E3A"/>
          <w:sz w:val="20"/>
          <w:szCs w:val="20"/>
          <w:rtl/>
        </w:rPr>
        <w:t xml:space="preserve"> في المملكة العربية السعودية، و </w:t>
      </w:r>
      <w:r>
        <w:rPr>
          <w:rFonts w:ascii="Arial" w:hAnsi="Arial" w:cs="Arial" w:eastAsia="Arial"/>
          <w:color w:val="0E1E3A"/>
          <w:sz w:val="20"/>
          <w:szCs w:val="20"/>
        </w:rPr>
        <w:t>‎4.2%‎</w:t>
      </w:r>
      <w:r>
        <w:rPr>
          <w:rFonts w:ascii="Arial" w:hAnsi="Arial" w:cs="Arial" w:eastAsia="Arial"/>
          <w:color w:val="0E1E3A"/>
          <w:sz w:val="20"/>
          <w:szCs w:val="20"/>
          <w:rtl/>
        </w:rPr>
        <w:t xml:space="preserve"> في الصين، و </w:t>
      </w:r>
      <w:r>
        <w:rPr>
          <w:rFonts w:ascii="Arial" w:hAnsi="Arial" w:cs="Arial" w:eastAsia="Arial"/>
          <w:color w:val="0E1E3A"/>
          <w:sz w:val="20"/>
          <w:szCs w:val="20"/>
        </w:rPr>
        <w:t>‎6.2%‎</w:t>
      </w:r>
      <w:r>
        <w:rPr>
          <w:rFonts w:ascii="Arial" w:hAnsi="Arial" w:cs="Arial" w:eastAsia="Arial"/>
          <w:color w:val="0E1E3A"/>
          <w:sz w:val="20"/>
          <w:szCs w:val="20"/>
          <w:rtl/>
        </w:rPr>
        <w:t xml:space="preserve"> في الهند.</w:t>
      </w:r>
    </w:p>
    <w:p>
      <w:pPr>
        <w:pStyle w:val="Heading3"/>
        <w:keepNext/>
        <w:bidi w:val="1"/>
        <w:spacing w:before="160" w:after="100" w:line="300" w:lineRule="auto"/>
      </w:pPr>
      <w:r>
        <w:rPr>
          <w:rFonts w:ascii="Arial" w:hAnsi="Arial" w:cs="Arial" w:eastAsia="Arial"/>
          <w:b/>
          <w:bCs/>
          <w:color w:val="12284B"/>
          <w:sz w:val="22"/>
          <w:szCs w:val="22"/>
          <w:rtl/>
        </w:rPr>
        <w:t>أبرز أحداث الصندوق، وأي تغييرات أساسية أو غير أساسية تؤثر على أدائه</w:t>
      </w:r>
    </w:p>
    <w:p>
      <w:pPr>
        <w:bidi w:val="1"/>
        <w:spacing w:before="0" w:after="80" w:line="312" w:lineRule="auto"/>
      </w:pPr>
      <w:r>
        <w:rPr>
          <w:rFonts w:ascii="Arial" w:hAnsi="Arial" w:cs="Arial" w:eastAsia="Arial"/>
          <w:color w:val="0E1E3A"/>
          <w:sz w:val="20"/>
          <w:szCs w:val="20"/>
          <w:rtl/>
        </w:rPr>
        <w:t xml:space="preserve">خلال الربع، قام مدير الصندوق بصرف توزيعات إضافية بقيمة 127.75 مليون ريال سعودي، بواقع ريالين سعوديين للوحدة، عن الفترة من 27 أبريل 2022م وحتى 31 ديسمبر 2024م. ومنذ تأسيسه، قام الصندوق بتوزيع إجمالي أرباح نقدية قدرها 4.715 ريال سعودي للوحدة، أي ما يعادل </w:t>
      </w:r>
      <w:r>
        <w:rPr>
          <w:rFonts w:ascii="Arial" w:hAnsi="Arial" w:cs="Arial" w:eastAsia="Arial"/>
          <w:color w:val="0E1E3A"/>
          <w:sz w:val="20"/>
          <w:szCs w:val="20"/>
        </w:rPr>
        <w:t>‎47.15%‎</w:t>
      </w:r>
      <w:r>
        <w:rPr>
          <w:rFonts w:ascii="Arial" w:hAnsi="Arial" w:cs="Arial" w:eastAsia="Arial"/>
          <w:color w:val="0E1E3A"/>
          <w:sz w:val="20"/>
          <w:szCs w:val="20"/>
          <w:rtl/>
        </w:rPr>
        <w:t xml:space="preserve"> من سعر الوحدة عند الطرح.</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(ديسمبر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كما في نهاية الربع الرابع (31 ديسمبر 2025م)</w:t>
            </w:r>
          </w:p>
        </w:tc>
        <w:tc>
          <w:tcPr>
            <w:tcW w:type="dxa" w:w="6860"/>
          </w:tcPr>
          <w:p>
            <w:pPr>
              <w:bidi w:val="1"/>
              <w:spacing w:before="0" w:after="0" w:line="276" w:lineRule="auto"/>
            </w:pPr>
            <w:r>
              <w:rPr>
                <w:rFonts w:ascii="Arial" w:hAnsi="Arial" w:cs="Arial" w:eastAsia="Arial"/>
                <w:b/>
                <w:bCs/>
                <w:color w:val="0E1E3A"/>
                <w:sz w:val="18"/>
                <w:szCs w:val="18"/>
                <w:rtl/>
              </w:rPr>
              <w:t>10.05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‎9.48%‎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63,876,285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أصول الصندوق</w:t>
            </w:r>
          </w:p>
        </w:tc>
        <w:tc>
          <w:tcPr>
            <w:tcW w:type="dxa" w:w="6860"/>
          </w:tcPr>
          <w:p>
            <w:pPr>
              <w:bidi w:val="1"/>
              <w:spacing w:before="0" w:after="0" w:line="276" w:lineRule="auto"/>
            </w:pPr>
            <w:r>
              <w:rPr>
                <w:rFonts w:ascii="Arial" w:hAnsi="Arial" w:cs="Arial" w:eastAsia="Arial"/>
                <w:b/>
                <w:bCs/>
                <w:color w:val="0E1E3A"/>
                <w:sz w:val="18"/>
                <w:szCs w:val="18"/>
                <w:rtl/>
              </w:rPr>
              <w:t>701,273,904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21.7x</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الرابع (ديسمبر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الإجمالية (TER)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2,968,586 ر.س.</w:t>
            </w:r>
          </w:p>
        </w:tc>
        <w:tc>
          <w:tcPr>
            <w:tcW w:type="dxa" w:w="3326"/>
          </w:tcPr>
          <w:p>
            <w:pPr>
              <w:bidi w:val="1"/>
              <w:spacing w:before="0" w:after="0" w:line="264" w:lineRule="auto"/>
            </w:pPr>
            <w:r>
              <w:rPr>
                <w:rFonts w:ascii="Arial" w:hAnsi="Arial" w:cs="Arial" w:eastAsia="Arial"/>
                <w:color w:val="0E1E3A"/>
                <w:sz w:val="17"/>
                <w:szCs w:val="17"/>
              </w:rPr>
              <w:t>‎0.37%‎</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ينطبق</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مصاريف التعامل من متوسط صافي أصول الصندوق *</w:t>
            </w:r>
          </w:p>
        </w:tc>
        <w:tc>
          <w:tcPr>
            <w:tcW w:type="dxa" w:w="3326"/>
          </w:tcPr>
          <w:p>
            <w:pPr>
              <w:bidi w:val="1"/>
              <w:spacing w:before="0" w:after="0" w:line="264" w:lineRule="auto"/>
            </w:pPr>
            <w:r>
              <w:rPr>
                <w:rFonts w:ascii="Arial" w:hAnsi="Arial" w:cs="Arial" w:eastAsia="Arial"/>
                <w:color w:val="0E1E3A"/>
                <w:sz w:val="17"/>
                <w:szCs w:val="17"/>
                <w:rtl/>
              </w:rPr>
              <w:t>101,900 ر.س.</w:t>
            </w:r>
          </w:p>
        </w:tc>
        <w:tc>
          <w:tcPr>
            <w:tcW w:type="dxa" w:w="3326"/>
          </w:tcPr>
          <w:p>
            <w:pPr>
              <w:bidi w:val="1"/>
              <w:spacing w:before="0" w:after="0" w:line="264" w:lineRule="auto"/>
            </w:pPr>
            <w:r>
              <w:rPr>
                <w:rFonts w:ascii="Arial" w:hAnsi="Arial" w:cs="Arial" w:eastAsia="Arial"/>
                <w:color w:val="0E1E3A"/>
                <w:sz w:val="17"/>
                <w:szCs w:val="17"/>
              </w:rPr>
              <w:t>‎0.01%‎</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ينطبق</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الأرباح الموزعة</w:t>
            </w:r>
          </w:p>
        </w:tc>
        <w:tc>
          <w:tcPr>
            <w:tcW w:type="dxa" w:w="3326"/>
          </w:tcPr>
          <w:p>
            <w:pPr>
              <w:bidi w:val="1"/>
              <w:spacing w:before="0" w:after="0" w:line="264" w:lineRule="auto"/>
            </w:pPr>
            <w:r>
              <w:rPr>
                <w:rFonts w:ascii="Arial" w:hAnsi="Arial" w:cs="Arial" w:eastAsia="Arial"/>
                <w:color w:val="0E1E3A"/>
                <w:sz w:val="17"/>
                <w:szCs w:val="17"/>
                <w:rtl/>
              </w:rPr>
              <w:t>127,752,570 ر.س.</w:t>
            </w:r>
          </w:p>
        </w:tc>
        <w:tc>
          <w:tcPr>
            <w:tcW w:type="dxa" w:w="3326"/>
          </w:tcPr>
          <w:p>
            <w:pPr>
              <w:bidi w:val="1"/>
              <w:spacing w:before="0" w:after="0" w:line="264" w:lineRule="auto"/>
            </w:pPr>
            <w:r>
              <w:rPr>
                <w:rFonts w:ascii="Arial" w:hAnsi="Arial" w:cs="Arial" w:eastAsia="Arial"/>
                <w:color w:val="0E1E3A"/>
                <w:sz w:val="17"/>
                <w:szCs w:val="17"/>
              </w:rPr>
              <w:t>‎18.22%‎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*متوسط صافي أصول الصندوق للربع الرابع = 797,860,384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0E1E3A"/>
          <w:sz w:val="20"/>
          <w:szCs w:val="20"/>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 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وتنتفي المسؤولية عن مدير الصندوق، أو أي من تابعيه في حال وقوع أي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3015784"/>
            <wp:docPr id="12" name="Picture 9049"/>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50"/>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الرابع</w:t>
            </w:r>
          </w:p>
        </w:tc>
        <w:tc>
          <w:tcPr>
            <w:tcW w:type="dxa" w:w="6860"/>
          </w:tcPr>
          <w:p>
            <w:pPr>
              <w:bidi w:val="1"/>
              <w:spacing w:before="0" w:after="0" w:line="276" w:lineRule="auto"/>
            </w:pPr>
            <w:r>
              <w:rPr>
                <w:rFonts w:ascii="Arial" w:hAnsi="Arial" w:cs="Arial" w:eastAsia="Arial"/>
                <w:b/>
                <w:bCs/>
                <w:color w:val="0E1E3A"/>
                <w:sz w:val="18"/>
                <w:szCs w:val="18"/>
                <w:rtl/>
              </w:rPr>
              <w:t>127,752,570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الرابع</w:t>
            </w:r>
          </w:p>
        </w:tc>
        <w:tc>
          <w:tcPr>
            <w:tcW w:type="dxa" w:w="6860"/>
          </w:tcPr>
          <w:p>
            <w:pPr>
              <w:bidi w:val="1"/>
              <w:spacing w:before="0" w:after="0" w:line="276" w:lineRule="auto"/>
            </w:pPr>
            <w:r>
              <w:rPr>
                <w:rFonts w:ascii="Arial" w:hAnsi="Arial" w:cs="Arial" w:eastAsia="Arial"/>
                <w:b/>
                <w:bCs/>
                <w:color w:val="0E1E3A"/>
                <w:sz w:val="18"/>
                <w:szCs w:val="18"/>
                <w:rtl/>
              </w:rPr>
              <w:t>63,876,285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الرابع</w:t>
            </w:r>
          </w:p>
        </w:tc>
        <w:tc>
          <w:tcPr>
            <w:tcW w:type="dxa" w:w="6860"/>
          </w:tcPr>
          <w:p>
            <w:pPr>
              <w:bidi w:val="1"/>
              <w:spacing w:before="0" w:after="0" w:line="276" w:lineRule="auto"/>
            </w:pPr>
            <w:r>
              <w:rPr>
                <w:rFonts w:ascii="Arial" w:hAnsi="Arial" w:cs="Arial" w:eastAsia="Arial"/>
                <w:b/>
                <w:bCs/>
                <w:color w:val="0E1E3A"/>
                <w:sz w:val="18"/>
                <w:szCs w:val="18"/>
                <w:rtl/>
              </w:rPr>
              <w:t>2.00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‎18.22%‎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حسب سجل مالكي الوحدات بنهاية يوم الخميس الموافق 18 ديسمبر 2025م</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التوزيعات عن الفترة من 27 أبريل 2022م إلى 31 ديسمبر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52"/>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 / جغرافي):</w:t>
      </w:r>
    </w:p>
    <w:p>
      <w:pPr>
        <w:bidi w:val="1"/>
        <w:spacing w:before="0" w:after="80" w:line="240" w:lineRule="auto"/>
        <w:jc w:val="center"/>
      </w:pPr>
      <w:r>
        <w:drawing>
          <wp:inline xmlns:a="http://schemas.openxmlformats.org/drawingml/2006/main" xmlns:pic="http://schemas.openxmlformats.org/drawingml/2006/picture">
            <wp:extent cx="6336000" cy="3025297"/>
            <wp:docPr id="16" name="Picture 9053"/>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3025297"/>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978811"/>
            <wp:docPr id="17" name="Picture 9054"/>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الرابع)</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‎4.73%‎</w:t>
            </w:r>
          </w:p>
        </w:tc>
        <w:tc>
          <w:tcPr>
            <w:tcW w:type="dxa" w:w="1663"/>
          </w:tcPr>
          <w:p>
            <w:pPr>
              <w:bidi w:val="1"/>
              <w:spacing w:before="0" w:after="0" w:line="264" w:lineRule="auto"/>
            </w:pPr>
            <w:r>
              <w:rPr>
                <w:rFonts w:ascii="Arial" w:hAnsi="Arial" w:cs="Arial" w:eastAsia="Arial"/>
                <w:color w:val="0E1E3A"/>
                <w:sz w:val="17"/>
                <w:szCs w:val="17"/>
              </w:rPr>
              <w:t>‎21.86%‎</w:t>
            </w:r>
          </w:p>
        </w:tc>
        <w:tc>
          <w:tcPr>
            <w:tcW w:type="dxa" w:w="1663"/>
          </w:tcPr>
          <w:p>
            <w:pPr>
              <w:bidi w:val="1"/>
              <w:spacing w:before="0" w:after="0" w:line="264" w:lineRule="auto"/>
            </w:pPr>
            <w:r>
              <w:rPr>
                <w:rFonts w:ascii="Arial" w:hAnsi="Arial" w:cs="Arial" w:eastAsia="Arial"/>
                <w:color w:val="0E1E3A"/>
                <w:sz w:val="17"/>
                <w:szCs w:val="17"/>
              </w:rPr>
              <w:t>‎21.86%‎</w:t>
            </w:r>
          </w:p>
        </w:tc>
        <w:tc>
          <w:tcPr>
            <w:tcW w:type="dxa" w:w="1663"/>
          </w:tcPr>
          <w:p>
            <w:pPr>
              <w:bidi w:val="1"/>
              <w:spacing w:before="0" w:after="0" w:line="264" w:lineRule="auto"/>
            </w:pPr>
            <w:r>
              <w:rPr>
                <w:rFonts w:ascii="Arial" w:hAnsi="Arial" w:cs="Arial" w:eastAsia="Arial"/>
                <w:color w:val="0E1E3A"/>
                <w:sz w:val="17"/>
                <w:szCs w:val="17"/>
              </w:rPr>
              <w:t>‎74.51%‎</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‎5.26%‎</w:t>
            </w:r>
          </w:p>
        </w:tc>
        <w:tc>
          <w:tcPr>
            <w:tcW w:type="dxa" w:w="1663"/>
          </w:tcPr>
          <w:p>
            <w:pPr>
              <w:bidi w:val="1"/>
              <w:spacing w:before="0" w:after="0" w:line="264" w:lineRule="auto"/>
            </w:pPr>
            <w:r>
              <w:rPr>
                <w:rFonts w:ascii="Arial" w:hAnsi="Arial" w:cs="Arial" w:eastAsia="Arial"/>
                <w:color w:val="0E1E3A"/>
                <w:sz w:val="17"/>
                <w:szCs w:val="17"/>
              </w:rPr>
              <w:t>‎20.62%‎</w:t>
            </w:r>
          </w:p>
        </w:tc>
        <w:tc>
          <w:tcPr>
            <w:tcW w:type="dxa" w:w="1663"/>
          </w:tcPr>
          <w:p>
            <w:pPr>
              <w:bidi w:val="1"/>
              <w:spacing w:before="0" w:after="0" w:line="264" w:lineRule="auto"/>
            </w:pPr>
            <w:r>
              <w:rPr>
                <w:rFonts w:ascii="Arial" w:hAnsi="Arial" w:cs="Arial" w:eastAsia="Arial"/>
                <w:color w:val="0E1E3A"/>
                <w:sz w:val="17"/>
                <w:szCs w:val="17"/>
              </w:rPr>
              <w:t>‎20.62%‎</w:t>
            </w:r>
          </w:p>
        </w:tc>
        <w:tc>
          <w:tcPr>
            <w:tcW w:type="dxa" w:w="1663"/>
          </w:tcPr>
          <w:p>
            <w:pPr>
              <w:bidi w:val="1"/>
              <w:spacing w:before="0" w:after="0" w:line="264" w:lineRule="auto"/>
            </w:pPr>
            <w:r>
              <w:rPr>
                <w:rFonts w:ascii="Arial" w:hAnsi="Arial" w:cs="Arial" w:eastAsia="Arial"/>
                <w:color w:val="0E1E3A"/>
                <w:sz w:val="17"/>
                <w:szCs w:val="17"/>
              </w:rPr>
              <w:t>‎61.43%‎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‎-0.53%‎</w:t>
            </w:r>
          </w:p>
        </w:tc>
        <w:tc>
          <w:tcPr>
            <w:tcW w:type="dxa" w:w="1663"/>
          </w:tcPr>
          <w:p>
            <w:pPr>
              <w:bidi w:val="1"/>
              <w:spacing w:before="0" w:after="0" w:line="264" w:lineRule="auto"/>
            </w:pPr>
            <w:r>
              <w:rPr>
                <w:rFonts w:ascii="Arial" w:hAnsi="Arial" w:cs="Arial" w:eastAsia="Arial"/>
                <w:color w:val="0E1E3A"/>
                <w:sz w:val="17"/>
                <w:szCs w:val="17"/>
              </w:rPr>
              <w:t>‎1.24%‎</w:t>
            </w:r>
          </w:p>
        </w:tc>
        <w:tc>
          <w:tcPr>
            <w:tcW w:type="dxa" w:w="1663"/>
          </w:tcPr>
          <w:p>
            <w:pPr>
              <w:bidi w:val="1"/>
              <w:spacing w:before="0" w:after="0" w:line="264" w:lineRule="auto"/>
            </w:pPr>
            <w:r>
              <w:rPr>
                <w:rFonts w:ascii="Arial" w:hAnsi="Arial" w:cs="Arial" w:eastAsia="Arial"/>
                <w:color w:val="0E1E3A"/>
                <w:sz w:val="17"/>
                <w:szCs w:val="17"/>
              </w:rPr>
              <w:t>‎1.24%‎</w:t>
            </w:r>
          </w:p>
        </w:tc>
        <w:tc>
          <w:tcPr>
            <w:tcW w:type="dxa" w:w="1663"/>
          </w:tcPr>
          <w:p>
            <w:pPr>
              <w:bidi w:val="1"/>
              <w:spacing w:before="0" w:after="0" w:line="264" w:lineRule="auto"/>
            </w:pPr>
            <w:r>
              <w:rPr>
                <w:rFonts w:ascii="Arial" w:hAnsi="Arial" w:cs="Arial" w:eastAsia="Arial"/>
                <w:color w:val="0E1E3A"/>
                <w:sz w:val="17"/>
                <w:szCs w:val="17"/>
              </w:rPr>
              <w:t>‎13.08%‎</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6"/>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الرابع)</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12.01</w:t>
            </w:r>
          </w:p>
        </w:tc>
        <w:tc>
          <w:tcPr>
            <w:tcW w:type="dxa" w:w="1663"/>
          </w:tcPr>
          <w:p>
            <w:pPr>
              <w:bidi w:val="1"/>
              <w:spacing w:before="0" w:after="0" w:line="264" w:lineRule="auto"/>
            </w:pPr>
            <w:r>
              <w:rPr>
                <w:rFonts w:ascii="Arial" w:hAnsi="Arial" w:cs="Arial" w:eastAsia="Arial"/>
                <w:color w:val="0E1E3A"/>
                <w:sz w:val="17"/>
                <w:szCs w:val="17"/>
                <w:rtl/>
              </w:rPr>
              <w:t>15.09</w:t>
            </w:r>
          </w:p>
        </w:tc>
        <w:tc>
          <w:tcPr>
            <w:tcW w:type="dxa" w:w="1663"/>
          </w:tcPr>
          <w:p>
            <w:pPr>
              <w:bidi w:val="1"/>
              <w:spacing w:before="0" w:after="0" w:line="264" w:lineRule="auto"/>
            </w:pPr>
            <w:r>
              <w:rPr>
                <w:rFonts w:ascii="Arial" w:hAnsi="Arial" w:cs="Arial" w:eastAsia="Arial"/>
                <w:color w:val="0E1E3A"/>
                <w:sz w:val="17"/>
                <w:szCs w:val="17"/>
                <w:rtl/>
              </w:rPr>
              <w:t>15.09</w:t>
            </w:r>
          </w:p>
        </w:tc>
        <w:tc>
          <w:tcPr>
            <w:tcW w:type="dxa" w:w="1663"/>
          </w:tcPr>
          <w:p>
            <w:pPr>
              <w:bidi w:val="1"/>
              <w:spacing w:before="0" w:after="0" w:line="264" w:lineRule="auto"/>
            </w:pPr>
            <w:r>
              <w:rPr>
                <w:rFonts w:ascii="Arial" w:hAnsi="Arial" w:cs="Arial" w:eastAsia="Arial"/>
                <w:color w:val="0E1E3A"/>
                <w:sz w:val="17"/>
                <w:szCs w:val="17"/>
                <w:rtl/>
              </w:rPr>
              <w:t>12.23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1.36</w:t>
            </w:r>
          </w:p>
        </w:tc>
        <w:tc>
          <w:tcPr>
            <w:tcW w:type="dxa" w:w="1663"/>
          </w:tcPr>
          <w:p>
            <w:pPr>
              <w:bidi w:val="1"/>
              <w:spacing w:before="0" w:after="0" w:line="264" w:lineRule="auto"/>
            </w:pPr>
            <w:r>
              <w:rPr>
                <w:rFonts w:ascii="Arial" w:hAnsi="Arial" w:cs="Arial" w:eastAsia="Arial"/>
                <w:color w:val="0E1E3A"/>
                <w:sz w:val="17"/>
                <w:szCs w:val="17"/>
                <w:rtl/>
              </w:rPr>
              <w:t>1.12</w:t>
            </w:r>
          </w:p>
        </w:tc>
        <w:tc>
          <w:tcPr>
            <w:tcW w:type="dxa" w:w="1663"/>
          </w:tcPr>
          <w:p>
            <w:pPr>
              <w:bidi w:val="1"/>
              <w:spacing w:before="0" w:after="0" w:line="264" w:lineRule="auto"/>
            </w:pPr>
            <w:r>
              <w:rPr>
                <w:rFonts w:ascii="Arial" w:hAnsi="Arial" w:cs="Arial" w:eastAsia="Arial"/>
                <w:color w:val="0E1E3A"/>
                <w:sz w:val="17"/>
                <w:szCs w:val="17"/>
                <w:rtl/>
              </w:rPr>
              <w:t>1.12</w:t>
            </w:r>
          </w:p>
        </w:tc>
        <w:tc>
          <w:tcPr>
            <w:tcW w:type="dxa" w:w="1663"/>
          </w:tcPr>
          <w:p>
            <w:pPr>
              <w:bidi w:val="1"/>
              <w:spacing w:before="0" w:after="0" w:line="264" w:lineRule="auto"/>
            </w:pPr>
            <w:r>
              <w:rPr>
                <w:rFonts w:ascii="Arial" w:hAnsi="Arial" w:cs="Arial" w:eastAsia="Arial"/>
                <w:color w:val="0E1E3A"/>
                <w:sz w:val="17"/>
                <w:szCs w:val="17"/>
                <w:rtl/>
              </w:rPr>
              <w:t>1.09</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1.55</w:t>
            </w:r>
          </w:p>
        </w:tc>
        <w:tc>
          <w:tcPr>
            <w:tcW w:type="dxa" w:w="1663"/>
          </w:tcPr>
          <w:p>
            <w:pPr>
              <w:bidi w:val="1"/>
              <w:spacing w:before="0" w:after="0" w:line="264" w:lineRule="auto"/>
            </w:pPr>
            <w:r>
              <w:rPr>
                <w:rFonts w:ascii="Arial" w:hAnsi="Arial" w:cs="Arial" w:eastAsia="Arial"/>
                <w:color w:val="0E1E3A"/>
                <w:sz w:val="17"/>
                <w:szCs w:val="17"/>
                <w:rtl/>
              </w:rPr>
              <w:t>3.30</w:t>
            </w:r>
          </w:p>
        </w:tc>
        <w:tc>
          <w:tcPr>
            <w:tcW w:type="dxa" w:w="1663"/>
          </w:tcPr>
          <w:p>
            <w:pPr>
              <w:bidi w:val="1"/>
              <w:spacing w:before="0" w:after="0" w:line="264" w:lineRule="auto"/>
            </w:pPr>
            <w:r>
              <w:rPr>
                <w:rFonts w:ascii="Arial" w:hAnsi="Arial" w:cs="Arial" w:eastAsia="Arial"/>
                <w:color w:val="0E1E3A"/>
                <w:sz w:val="17"/>
                <w:szCs w:val="17"/>
                <w:rtl/>
              </w:rPr>
              <w:t>3.30</w:t>
            </w:r>
          </w:p>
        </w:tc>
        <w:tc>
          <w:tcPr>
            <w:tcW w:type="dxa" w:w="1663"/>
          </w:tcPr>
          <w:p>
            <w:pPr>
              <w:bidi w:val="1"/>
              <w:spacing w:before="0" w:after="0" w:line="264" w:lineRule="auto"/>
            </w:pPr>
            <w:r>
              <w:rPr>
                <w:rFonts w:ascii="Arial" w:hAnsi="Arial" w:cs="Arial" w:eastAsia="Arial"/>
                <w:color w:val="0E1E3A"/>
                <w:sz w:val="17"/>
                <w:szCs w:val="17"/>
                <w:rtl/>
              </w:rPr>
              <w:t>6.28</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0.94</w:t>
            </w:r>
          </w:p>
        </w:tc>
        <w:tc>
          <w:tcPr>
            <w:tcW w:type="dxa" w:w="1663"/>
          </w:tcPr>
          <w:p>
            <w:pPr>
              <w:bidi w:val="1"/>
              <w:spacing w:before="0" w:after="0" w:line="264" w:lineRule="auto"/>
            </w:pPr>
            <w:r>
              <w:rPr>
                <w:rFonts w:ascii="Arial" w:hAnsi="Arial" w:cs="Arial" w:eastAsia="Arial"/>
                <w:color w:val="0E1E3A"/>
                <w:sz w:val="17"/>
                <w:szCs w:val="17"/>
                <w:rtl/>
              </w:rPr>
              <w:t>0.95</w:t>
            </w:r>
          </w:p>
        </w:tc>
        <w:tc>
          <w:tcPr>
            <w:tcW w:type="dxa" w:w="1663"/>
          </w:tcPr>
          <w:p>
            <w:pPr>
              <w:bidi w:val="1"/>
              <w:spacing w:before="0" w:after="0" w:line="264" w:lineRule="auto"/>
            </w:pPr>
            <w:r>
              <w:rPr>
                <w:rFonts w:ascii="Arial" w:hAnsi="Arial" w:cs="Arial" w:eastAsia="Arial"/>
                <w:color w:val="0E1E3A"/>
                <w:sz w:val="17"/>
                <w:szCs w:val="17"/>
                <w:rtl/>
              </w:rPr>
              <w:t>0.95</w:t>
            </w:r>
          </w:p>
        </w:tc>
        <w:tc>
          <w:tcPr>
            <w:tcW w:type="dxa" w:w="1663"/>
          </w:tcPr>
          <w:p>
            <w:pPr>
              <w:bidi w:val="1"/>
              <w:spacing w:before="0" w:after="0" w:line="264" w:lineRule="auto"/>
            </w:pPr>
            <w:r>
              <w:rPr>
                <w:rFonts w:ascii="Arial" w:hAnsi="Arial" w:cs="Arial" w:eastAsia="Arial"/>
                <w:color w:val="0E1E3A"/>
                <w:sz w:val="17"/>
                <w:szCs w:val="17"/>
                <w:rtl/>
              </w:rPr>
              <w:t>0.87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Pr>
              <w:t>‎-2.18%‎</w:t>
            </w:r>
          </w:p>
        </w:tc>
        <w:tc>
          <w:tcPr>
            <w:tcW w:type="dxa" w:w="1663"/>
          </w:tcPr>
          <w:p>
            <w:pPr>
              <w:bidi w:val="1"/>
              <w:spacing w:before="0" w:after="0" w:line="264" w:lineRule="auto"/>
            </w:pPr>
            <w:r>
              <w:rPr>
                <w:rFonts w:ascii="Arial" w:hAnsi="Arial" w:cs="Arial" w:eastAsia="Arial"/>
                <w:color w:val="0E1E3A"/>
                <w:sz w:val="17"/>
                <w:szCs w:val="17"/>
              </w:rPr>
              <w:t>‎0.89%‎</w:t>
            </w:r>
          </w:p>
        </w:tc>
        <w:tc>
          <w:tcPr>
            <w:tcW w:type="dxa" w:w="1663"/>
          </w:tcPr>
          <w:p>
            <w:pPr>
              <w:bidi w:val="1"/>
              <w:spacing w:before="0" w:after="0" w:line="264" w:lineRule="auto"/>
            </w:pPr>
            <w:r>
              <w:rPr>
                <w:rFonts w:ascii="Arial" w:hAnsi="Arial" w:cs="Arial" w:eastAsia="Arial"/>
                <w:color w:val="0E1E3A"/>
                <w:sz w:val="17"/>
                <w:szCs w:val="17"/>
              </w:rPr>
              <w:t>‎0.89%‎</w:t>
            </w:r>
          </w:p>
        </w:tc>
        <w:tc>
          <w:tcPr>
            <w:tcW w:type="dxa" w:w="1663"/>
          </w:tcPr>
          <w:p>
            <w:pPr>
              <w:bidi w:val="1"/>
              <w:spacing w:before="0" w:after="0" w:line="264" w:lineRule="auto"/>
            </w:pPr>
            <w:r>
              <w:rPr>
                <w:rFonts w:ascii="Arial" w:hAnsi="Arial" w:cs="Arial" w:eastAsia="Arial"/>
                <w:color w:val="0E1E3A"/>
                <w:sz w:val="17"/>
                <w:szCs w:val="17"/>
              </w:rPr>
              <w:t>‎2.35%‎</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tl/>
              </w:rPr>
              <w:t>-1.41</w:t>
            </w:r>
          </w:p>
        </w:tc>
        <w:tc>
          <w:tcPr>
            <w:tcW w:type="dxa" w:w="1663"/>
          </w:tcPr>
          <w:p>
            <w:pPr>
              <w:bidi w:val="1"/>
              <w:spacing w:before="0" w:after="0" w:line="264" w:lineRule="auto"/>
            </w:pPr>
            <w:r>
              <w:rPr>
                <w:rFonts w:ascii="Arial" w:hAnsi="Arial" w:cs="Arial" w:eastAsia="Arial"/>
                <w:color w:val="0E1E3A"/>
                <w:sz w:val="17"/>
                <w:szCs w:val="17"/>
                <w:rtl/>
              </w:rPr>
              <w:t>0.27</w:t>
            </w:r>
          </w:p>
        </w:tc>
        <w:tc>
          <w:tcPr>
            <w:tcW w:type="dxa" w:w="1663"/>
          </w:tcPr>
          <w:p>
            <w:pPr>
              <w:bidi w:val="1"/>
              <w:spacing w:before="0" w:after="0" w:line="264" w:lineRule="auto"/>
            </w:pPr>
            <w:r>
              <w:rPr>
                <w:rFonts w:ascii="Arial" w:hAnsi="Arial" w:cs="Arial" w:eastAsia="Arial"/>
                <w:color w:val="0E1E3A"/>
                <w:sz w:val="17"/>
                <w:szCs w:val="17"/>
                <w:rtl/>
              </w:rPr>
              <w:t>0.27</w:t>
            </w:r>
          </w:p>
        </w:tc>
        <w:tc>
          <w:tcPr>
            <w:tcW w:type="dxa" w:w="1663"/>
          </w:tcPr>
          <w:p>
            <w:pPr>
              <w:bidi w:val="1"/>
              <w:spacing w:before="0" w:after="0" w:line="264" w:lineRule="auto"/>
            </w:pPr>
            <w:r>
              <w:rPr>
                <w:rFonts w:ascii="Arial" w:hAnsi="Arial" w:cs="Arial" w:eastAsia="Arial"/>
                <w:color w:val="0E1E3A"/>
                <w:sz w:val="17"/>
                <w:szCs w:val="17"/>
                <w:rtl/>
              </w:rPr>
              <w:t>0.37</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7"/>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2" name="Picture 9059"/>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318702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31 ديسمبر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60"/>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61"/>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الرابع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