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8"/>
            <wp:cNvGraphicFramePr/>
            <a:graphic>
              <a:graphicData uri="http://schemas.openxmlformats.org/drawingml/2006/picture">
                <pic:pic>
                  <pic:nvPicPr>
                    <pic:cNvPr id="9038" name="banner903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Manager focuses on investing in a diversified portfolio of global equities. The Fund's investments include investing in shares of companies in all sectors, traded on global exchanges in countries such as Saudi Arabia, USA, China, Japan, Switzerland, UK, France, Germany and Canada. Investing on these exchanges will be in the currency of each country. In addition, the Fund Manager will invest in public and private equity funds managed by fund managers licensed by the Capital Market Authority (CMA) or a similar authority when investing abroad. These funds will include corporate shares of different market values in diverse geographies and sectors. The Fund Manager also intends to invest in intial public offerings (IPOs) listed on different stock exchanges, in addition to subscribing for capital increases of listed companies, as well as unlisted companies planning IPOs, by subscribing for planned IPOs, and investing in cash and cash equivalents in compliance with Shari'ah principles, to achieve long term growth and generate periodic income from the returns on equity shares and capital gain.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10.9786</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706,228,090</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Fund Total Assets as at 30 September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pStyle w:val="Heading3"/>
        <w:keepNext/>
        <w:spacing w:before="160" w:after="100" w:line="300" w:lineRule="auto"/>
      </w:pPr>
      <w:r>
        <w:rPr>
          <w:rFonts w:ascii="Arial" w:hAnsi="Arial" w:cs="Arial" w:eastAsia="Arial"/>
          <w:b/>
          <w:bCs/>
          <w:color w:val="12284B"/>
          <w:sz w:val="22"/>
          <w:szCs w:val="22"/>
        </w:rPr>
        <w:t>Overview of Global Markets</w:t>
      </w:r>
    </w:p>
    <w:p>
      <w:pPr>
        <w:spacing w:before="0" w:after="80" w:line="312" w:lineRule="auto"/>
      </w:pPr>
      <w:r>
        <w:rPr>
          <w:rFonts w:ascii="Arial" w:hAnsi="Arial" w:cs="Arial" w:eastAsia="Arial"/>
          <w:color w:val="0E1E3A"/>
          <w:sz w:val="20"/>
          <w:szCs w:val="20"/>
        </w:rPr>
        <w:t>Global equity markets closed Q4 2025 with positive performance, supported by resilient corporate earnings, easing inflationary pressures, and a shift toward looser monetary policy by major central banks. Despite ongoing geopolitical tensions and trade policy uncertainty, market sentiment remained generally positive during the quarter. Alkhabeer Capital index rose by +5.26% in Q4 2025, bringing its full-year 2025 performance to +20.62%, reflecting the strong momentum seen in global equity markets throughout the year.</w:t>
      </w:r>
    </w:p>
    <w:p>
      <w:pPr>
        <w:spacing w:before="0" w:after="80" w:line="312" w:lineRule="auto"/>
      </w:pPr>
      <w:r>
        <w:rPr>
          <w:rFonts w:ascii="Arial" w:hAnsi="Arial" w:cs="Arial" w:eastAsia="Arial"/>
          <w:color w:val="0E1E3A"/>
          <w:sz w:val="20"/>
          <w:szCs w:val="20"/>
        </w:rPr>
        <w:t>The US economy continued to show signs of moderate slowing, with the unemployment rate rising to 4.6% while inflation stood at 2.7%, continuing its gradual path toward the long-term 2% target. In December, the US Federal Reserve cut interest rates by 25 basis point (bps), marking the third cut in 2025. In Europe, equity market performance was mixed amid relatively weak economic growth. Emerging markets benefited from attractive valuations and supportive policy measures, including fiscal support in China and continued strong domestic demand in India. Geopolitical developments and uncertainty related to trade-policy may continue to contribute to equity markets volatility. Conversely, further progress in containing inflation and monetary policy adjustments by central banks could provide additional market stability.</w:t>
      </w:r>
    </w:p>
    <w:p>
      <w:pPr>
        <w:spacing w:before="0" w:after="80" w:line="312" w:lineRule="auto"/>
      </w:pPr>
      <w:r>
        <w:rPr>
          <w:rFonts w:ascii="Arial" w:hAnsi="Arial" w:cs="Arial" w:eastAsia="Arial"/>
          <w:color w:val="0E1E3A"/>
          <w:sz w:val="20"/>
          <w:szCs w:val="20"/>
        </w:rPr>
        <w:t>According to the IMF’s World Economic Outlook, global GDP growth is projected at 3.2% in 2025 and 3.1% in 2026, with advanced economies growing by 1.6% while emerging market growth exceeds 4%. Expected growth rates for fiscal year 2026 are approximately 2.1% for the United States, 1.3% for the United Kingdom, 4.0% for Saudi Arabia, 4.2% for China, and 6.2% for India.</w:t>
      </w:r>
    </w:p>
    <w:p>
      <w:pPr>
        <w:pStyle w:val="Heading3"/>
        <w:keepNext/>
        <w:spacing w:before="160" w:after="100" w:line="300" w:lineRule="auto"/>
      </w:pPr>
      <w:r>
        <w:rPr>
          <w:rFonts w:ascii="Arial" w:hAnsi="Arial" w:cs="Arial" w:eastAsia="Arial"/>
          <w:b/>
          <w:bCs/>
          <w:color w:val="12284B"/>
          <w:sz w:val="22"/>
          <w:szCs w:val="22"/>
        </w:rPr>
        <w:t>Fund Highlights and Any Fundamental or Non-Fundamental Changes Affecting its Performance</w:t>
      </w:r>
    </w:p>
    <w:p>
      <w:pPr>
        <w:spacing w:before="0" w:after="80" w:line="312" w:lineRule="auto"/>
      </w:pPr>
      <w:r>
        <w:rPr>
          <w:rFonts w:ascii="Arial" w:hAnsi="Arial" w:cs="Arial" w:eastAsia="Arial"/>
          <w:color w:val="0E1E3A"/>
          <w:sz w:val="20"/>
          <w:szCs w:val="20"/>
        </w:rPr>
        <w:t>During the quarter, the fund manager paid additional distributions totaling SAR 127.75 million, at SAR 2.00 per unit, for the period from 27 April 2022 to 31 December 2024. Since inception, the fund has distributed total cash dividends of SAR 4.715 per unit, equivalent to 47.15% of the IPO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3"/>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(December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2025)</w:t>
            </w:r>
          </w:p>
        </w:tc>
        <w:tc>
          <w:tcPr>
            <w:tcW w:type="dxa" w:w="6860"/>
          </w:tcPr>
          <w:p>
            <w:pPr>
              <w:spacing w:before="0" w:after="0" w:line="276" w:lineRule="auto"/>
            </w:pPr>
            <w:r>
              <w:rPr>
                <w:rFonts w:ascii="Arial" w:hAnsi="Arial" w:cs="Arial" w:eastAsia="Arial"/>
                <w:b/>
                <w:bCs/>
                <w:color w:val="0E1E3A"/>
                <w:sz w:val="18"/>
                <w:szCs w:val="18"/>
              </w:rPr>
              <w:t>SAR 10.05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9.48%</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63,876,285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701,273,904</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21.7x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Q4 (December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2,968,586</w:t>
            </w:r>
          </w:p>
        </w:tc>
        <w:tc>
          <w:tcPr>
            <w:tcW w:type="dxa" w:w="3326"/>
          </w:tcPr>
          <w:p>
            <w:pPr>
              <w:spacing w:before="0" w:after="0" w:line="264" w:lineRule="auto"/>
            </w:pPr>
            <w:r>
              <w:rPr>
                <w:rFonts w:ascii="Arial" w:hAnsi="Arial" w:cs="Arial" w:eastAsia="Arial"/>
                <w:color w:val="0E1E3A"/>
                <w:sz w:val="17"/>
                <w:szCs w:val="17"/>
              </w:rPr>
              <w:t>0.37%</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 *</w:t>
            </w:r>
          </w:p>
        </w:tc>
        <w:tc>
          <w:tcPr>
            <w:tcW w:type="dxa" w:w="3326"/>
          </w:tcPr>
          <w:p>
            <w:pPr>
              <w:spacing w:before="0" w:after="0" w:line="264" w:lineRule="auto"/>
            </w:pPr>
            <w:r>
              <w:rPr>
                <w:rFonts w:ascii="Arial" w:hAnsi="Arial" w:cs="Arial" w:eastAsia="Arial"/>
                <w:color w:val="0E1E3A"/>
                <w:sz w:val="17"/>
                <w:szCs w:val="17"/>
              </w:rPr>
              <w:t>SAR 101,900</w:t>
            </w:r>
          </w:p>
        </w:tc>
        <w:tc>
          <w:tcPr>
            <w:tcW w:type="dxa" w:w="3326"/>
          </w:tcPr>
          <w:p>
            <w:pPr>
              <w:spacing w:before="0" w:after="0" w:line="264" w:lineRule="auto"/>
            </w:pPr>
            <w:r>
              <w:rPr>
                <w:rFonts w:ascii="Arial" w:hAnsi="Arial" w:cs="Arial" w:eastAsia="Arial"/>
                <w:color w:val="0E1E3A"/>
                <w:sz w:val="17"/>
                <w:szCs w:val="17"/>
              </w:rPr>
              <w:t>0.01%</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w:t>
            </w:r>
          </w:p>
        </w:tc>
        <w:tc>
          <w:tcPr>
            <w:tcW w:type="dxa" w:w="3326"/>
          </w:tcPr>
          <w:p>
            <w:pPr>
              <w:spacing w:before="0" w:after="0" w:line="264" w:lineRule="auto"/>
            </w:pPr>
            <w:r>
              <w:rPr>
                <w:rFonts w:ascii="Arial" w:hAnsi="Arial" w:cs="Arial" w:eastAsia="Arial"/>
                <w:color w:val="0E1E3A"/>
                <w:sz w:val="17"/>
                <w:szCs w:val="17"/>
              </w:rPr>
              <w:t>SAR 127,752,570</w:t>
            </w:r>
          </w:p>
        </w:tc>
        <w:tc>
          <w:tcPr>
            <w:tcW w:type="dxa" w:w="3326"/>
          </w:tcPr>
          <w:p>
            <w:pPr>
              <w:spacing w:before="0" w:after="0" w:line="264" w:lineRule="auto"/>
            </w:pPr>
            <w:r>
              <w:rPr>
                <w:rFonts w:ascii="Arial" w:hAnsi="Arial" w:cs="Arial" w:eastAsia="Arial"/>
                <w:color w:val="0E1E3A"/>
                <w:sz w:val="17"/>
                <w:szCs w:val="17"/>
              </w:rPr>
              <w:t>18.22%</w:t>
            </w:r>
          </w:p>
        </w:tc>
      </w:tr>
    </w:tbl>
    <w:p>
      <w:pPr>
        <w:spacing w:before="0" w:after="40" w:line="300" w:lineRule="auto"/>
      </w:pPr>
    </w:p>
    <w:p>
      <w:pPr>
        <w:spacing w:before="0" w:after="80" w:line="312" w:lineRule="auto"/>
      </w:pPr>
      <w:r>
        <w:rPr>
          <w:rFonts w:ascii="Arial" w:hAnsi="Arial" w:cs="Arial" w:eastAsia="Arial"/>
          <w:color w:val="5A6478"/>
          <w:sz w:val="17"/>
          <w:szCs w:val="17"/>
        </w:rPr>
        <w:t>* Fund's Average Net Asset Value for Q4 = SAR 797,860,384.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47"/>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654270"/>
            <wp:docPr id="12" name="Picture 9049"/>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during Q4</w:t>
            </w:r>
          </w:p>
        </w:tc>
        <w:tc>
          <w:tcPr>
            <w:tcW w:type="dxa" w:w="6860"/>
          </w:tcPr>
          <w:p>
            <w:pPr>
              <w:spacing w:before="0" w:after="0" w:line="276" w:lineRule="auto"/>
            </w:pPr>
            <w:r>
              <w:rPr>
                <w:rFonts w:ascii="Arial" w:hAnsi="Arial" w:cs="Arial" w:eastAsia="Arial"/>
                <w:b/>
                <w:bCs/>
                <w:color w:val="0E1E3A"/>
                <w:sz w:val="18"/>
                <w:szCs w:val="18"/>
              </w:rPr>
              <w:t>SAR 127,752,570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eligible for Dividends distribution during Q4</w:t>
            </w:r>
          </w:p>
        </w:tc>
        <w:tc>
          <w:tcPr>
            <w:tcW w:type="dxa" w:w="6860"/>
          </w:tcPr>
          <w:p>
            <w:pPr>
              <w:spacing w:before="0" w:after="0" w:line="276" w:lineRule="auto"/>
            </w:pPr>
            <w:r>
              <w:rPr>
                <w:rFonts w:ascii="Arial" w:hAnsi="Arial" w:cs="Arial" w:eastAsia="Arial"/>
                <w:b/>
                <w:bCs/>
                <w:color w:val="0E1E3A"/>
                <w:sz w:val="18"/>
                <w:szCs w:val="18"/>
              </w:rPr>
              <w:t>63,876,285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during Q4</w:t>
            </w:r>
          </w:p>
        </w:tc>
        <w:tc>
          <w:tcPr>
            <w:tcW w:type="dxa" w:w="6860"/>
          </w:tcPr>
          <w:p>
            <w:pPr>
              <w:spacing w:before="0" w:after="0" w:line="276" w:lineRule="auto"/>
            </w:pPr>
            <w:r>
              <w:rPr>
                <w:rFonts w:ascii="Arial" w:hAnsi="Arial" w:cs="Arial" w:eastAsia="Arial"/>
                <w:b/>
                <w:bCs/>
                <w:color w:val="0E1E3A"/>
                <w:sz w:val="18"/>
                <w:szCs w:val="18"/>
              </w:rPr>
              <w:t>SAR 2.00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18.22%</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Unitholders' Register as at Close of Business on Thursday, December 18, 2025</w:t>
            </w:r>
          </w:p>
        </w:tc>
      </w:tr>
    </w:tbl>
    <w:p>
      <w:pPr>
        <w:spacing w:before="0" w:after="40" w:line="300" w:lineRule="auto"/>
      </w:pPr>
    </w:p>
    <w:p>
      <w:pPr>
        <w:spacing w:before="0" w:after="80" w:line="312" w:lineRule="auto"/>
      </w:pPr>
      <w:r>
        <w:rPr>
          <w:rFonts w:ascii="Arial" w:hAnsi="Arial" w:cs="Arial" w:eastAsia="Arial"/>
          <w:color w:val="5A6478"/>
          <w:sz w:val="17"/>
          <w:szCs w:val="17"/>
        </w:rPr>
        <w:t>Distributions for the Period from 27 April 2022 to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2644757"/>
            <wp:docPr id="16" name="Picture 9053"/>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2644757"/>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54"/>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4.73%</w:t>
            </w:r>
          </w:p>
        </w:tc>
        <w:tc>
          <w:tcPr>
            <w:tcW w:type="dxa" w:w="1663"/>
          </w:tcPr>
          <w:p>
            <w:pPr>
              <w:spacing w:before="0" w:after="0" w:line="264" w:lineRule="auto"/>
            </w:pPr>
            <w:r>
              <w:rPr>
                <w:rFonts w:ascii="Arial" w:hAnsi="Arial" w:cs="Arial" w:eastAsia="Arial"/>
                <w:color w:val="0E1E3A"/>
                <w:sz w:val="17"/>
                <w:szCs w:val="17"/>
              </w:rPr>
              <w:t>21.86%</w:t>
            </w:r>
          </w:p>
        </w:tc>
        <w:tc>
          <w:tcPr>
            <w:tcW w:type="dxa" w:w="1663"/>
          </w:tcPr>
          <w:p>
            <w:pPr>
              <w:spacing w:before="0" w:after="0" w:line="264" w:lineRule="auto"/>
            </w:pPr>
            <w:r>
              <w:rPr>
                <w:rFonts w:ascii="Arial" w:hAnsi="Arial" w:cs="Arial" w:eastAsia="Arial"/>
                <w:color w:val="0E1E3A"/>
                <w:sz w:val="17"/>
                <w:szCs w:val="17"/>
              </w:rPr>
              <w:t>21.86%</w:t>
            </w:r>
          </w:p>
        </w:tc>
        <w:tc>
          <w:tcPr>
            <w:tcW w:type="dxa" w:w="1663"/>
          </w:tcPr>
          <w:p>
            <w:pPr>
              <w:spacing w:before="0" w:after="0" w:line="264" w:lineRule="auto"/>
            </w:pPr>
            <w:r>
              <w:rPr>
                <w:rFonts w:ascii="Arial" w:hAnsi="Arial" w:cs="Arial" w:eastAsia="Arial"/>
                <w:color w:val="0E1E3A"/>
                <w:sz w:val="17"/>
                <w:szCs w:val="17"/>
              </w:rPr>
              <w:t>74.51%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5.26%</w:t>
            </w:r>
          </w:p>
        </w:tc>
        <w:tc>
          <w:tcPr>
            <w:tcW w:type="dxa" w:w="1663"/>
          </w:tcPr>
          <w:p>
            <w:pPr>
              <w:spacing w:before="0" w:after="0" w:line="264" w:lineRule="auto"/>
            </w:pPr>
            <w:r>
              <w:rPr>
                <w:rFonts w:ascii="Arial" w:hAnsi="Arial" w:cs="Arial" w:eastAsia="Arial"/>
                <w:color w:val="0E1E3A"/>
                <w:sz w:val="17"/>
                <w:szCs w:val="17"/>
              </w:rPr>
              <w:t>20.62%</w:t>
            </w:r>
          </w:p>
        </w:tc>
        <w:tc>
          <w:tcPr>
            <w:tcW w:type="dxa" w:w="1663"/>
          </w:tcPr>
          <w:p>
            <w:pPr>
              <w:spacing w:before="0" w:after="0" w:line="264" w:lineRule="auto"/>
            </w:pPr>
            <w:r>
              <w:rPr>
                <w:rFonts w:ascii="Arial" w:hAnsi="Arial" w:cs="Arial" w:eastAsia="Arial"/>
                <w:color w:val="0E1E3A"/>
                <w:sz w:val="17"/>
                <w:szCs w:val="17"/>
              </w:rPr>
              <w:t>20.62%</w:t>
            </w:r>
          </w:p>
        </w:tc>
        <w:tc>
          <w:tcPr>
            <w:tcW w:type="dxa" w:w="1663"/>
          </w:tcPr>
          <w:p>
            <w:pPr>
              <w:spacing w:before="0" w:after="0" w:line="264" w:lineRule="auto"/>
            </w:pPr>
            <w:r>
              <w:rPr>
                <w:rFonts w:ascii="Arial" w:hAnsi="Arial" w:cs="Arial" w:eastAsia="Arial"/>
                <w:color w:val="0E1E3A"/>
                <w:sz w:val="17"/>
                <w:szCs w:val="17"/>
              </w:rPr>
              <w:t>61.43%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-0.53%</w:t>
            </w:r>
          </w:p>
        </w:tc>
        <w:tc>
          <w:tcPr>
            <w:tcW w:type="dxa" w:w="1663"/>
          </w:tcPr>
          <w:p>
            <w:pPr>
              <w:spacing w:before="0" w:after="0" w:line="264" w:lineRule="auto"/>
            </w:pPr>
            <w:r>
              <w:rPr>
                <w:rFonts w:ascii="Arial" w:hAnsi="Arial" w:cs="Arial" w:eastAsia="Arial"/>
                <w:color w:val="0E1E3A"/>
                <w:sz w:val="17"/>
                <w:szCs w:val="17"/>
              </w:rPr>
              <w:t>1.24%</w:t>
            </w:r>
          </w:p>
        </w:tc>
        <w:tc>
          <w:tcPr>
            <w:tcW w:type="dxa" w:w="1663"/>
          </w:tcPr>
          <w:p>
            <w:pPr>
              <w:spacing w:before="0" w:after="0" w:line="264" w:lineRule="auto"/>
            </w:pPr>
            <w:r>
              <w:rPr>
                <w:rFonts w:ascii="Arial" w:hAnsi="Arial" w:cs="Arial" w:eastAsia="Arial"/>
                <w:color w:val="0E1E3A"/>
                <w:sz w:val="17"/>
                <w:szCs w:val="17"/>
              </w:rPr>
              <w:t>1.24%</w:t>
            </w:r>
          </w:p>
        </w:tc>
        <w:tc>
          <w:tcPr>
            <w:tcW w:type="dxa" w:w="1663"/>
          </w:tcPr>
          <w:p>
            <w:pPr>
              <w:spacing w:before="0" w:after="0" w:line="264" w:lineRule="auto"/>
            </w:pPr>
            <w:r>
              <w:rPr>
                <w:rFonts w:ascii="Arial" w:hAnsi="Arial" w:cs="Arial" w:eastAsia="Arial"/>
                <w:color w:val="0E1E3A"/>
                <w:sz w:val="17"/>
                <w:szCs w:val="17"/>
              </w:rPr>
              <w:t>13.08%</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12.01</w:t>
            </w:r>
          </w:p>
        </w:tc>
        <w:tc>
          <w:tcPr>
            <w:tcW w:type="dxa" w:w="1663"/>
          </w:tcPr>
          <w:p>
            <w:pPr>
              <w:spacing w:before="0" w:after="0" w:line="264" w:lineRule="auto"/>
            </w:pPr>
            <w:r>
              <w:rPr>
                <w:rFonts w:ascii="Arial" w:hAnsi="Arial" w:cs="Arial" w:eastAsia="Arial"/>
                <w:color w:val="0E1E3A"/>
                <w:sz w:val="17"/>
                <w:szCs w:val="17"/>
              </w:rPr>
              <w:t>15.09</w:t>
            </w:r>
          </w:p>
        </w:tc>
        <w:tc>
          <w:tcPr>
            <w:tcW w:type="dxa" w:w="1663"/>
          </w:tcPr>
          <w:p>
            <w:pPr>
              <w:spacing w:before="0" w:after="0" w:line="264" w:lineRule="auto"/>
            </w:pPr>
            <w:r>
              <w:rPr>
                <w:rFonts w:ascii="Arial" w:hAnsi="Arial" w:cs="Arial" w:eastAsia="Arial"/>
                <w:color w:val="0E1E3A"/>
                <w:sz w:val="17"/>
                <w:szCs w:val="17"/>
              </w:rPr>
              <w:t>15.09</w:t>
            </w:r>
          </w:p>
        </w:tc>
        <w:tc>
          <w:tcPr>
            <w:tcW w:type="dxa" w:w="1663"/>
          </w:tcPr>
          <w:p>
            <w:pPr>
              <w:spacing w:before="0" w:after="0" w:line="264" w:lineRule="auto"/>
            </w:pPr>
            <w:r>
              <w:rPr>
                <w:rFonts w:ascii="Arial" w:hAnsi="Arial" w:cs="Arial" w:eastAsia="Arial"/>
                <w:color w:val="0E1E3A"/>
                <w:sz w:val="17"/>
                <w:szCs w:val="17"/>
              </w:rPr>
              <w:t>12.23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1.36</w:t>
            </w:r>
          </w:p>
        </w:tc>
        <w:tc>
          <w:tcPr>
            <w:tcW w:type="dxa" w:w="1663"/>
          </w:tcPr>
          <w:p>
            <w:pPr>
              <w:spacing w:before="0" w:after="0" w:line="264" w:lineRule="auto"/>
            </w:pPr>
            <w:r>
              <w:rPr>
                <w:rFonts w:ascii="Arial" w:hAnsi="Arial" w:cs="Arial" w:eastAsia="Arial"/>
                <w:color w:val="0E1E3A"/>
                <w:sz w:val="17"/>
                <w:szCs w:val="17"/>
              </w:rPr>
              <w:t>1.12</w:t>
            </w:r>
          </w:p>
        </w:tc>
        <w:tc>
          <w:tcPr>
            <w:tcW w:type="dxa" w:w="1663"/>
          </w:tcPr>
          <w:p>
            <w:pPr>
              <w:spacing w:before="0" w:after="0" w:line="264" w:lineRule="auto"/>
            </w:pPr>
            <w:r>
              <w:rPr>
                <w:rFonts w:ascii="Arial" w:hAnsi="Arial" w:cs="Arial" w:eastAsia="Arial"/>
                <w:color w:val="0E1E3A"/>
                <w:sz w:val="17"/>
                <w:szCs w:val="17"/>
              </w:rPr>
              <w:t>1.12</w:t>
            </w:r>
          </w:p>
        </w:tc>
        <w:tc>
          <w:tcPr>
            <w:tcW w:type="dxa" w:w="1663"/>
          </w:tcPr>
          <w:p>
            <w:pPr>
              <w:spacing w:before="0" w:after="0" w:line="264" w:lineRule="auto"/>
            </w:pPr>
            <w:r>
              <w:rPr>
                <w:rFonts w:ascii="Arial" w:hAnsi="Arial" w:cs="Arial" w:eastAsia="Arial"/>
                <w:color w:val="0E1E3A"/>
                <w:sz w:val="17"/>
                <w:szCs w:val="17"/>
              </w:rPr>
              <w:t>1.09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1.55</w:t>
            </w:r>
          </w:p>
        </w:tc>
        <w:tc>
          <w:tcPr>
            <w:tcW w:type="dxa" w:w="1663"/>
          </w:tcPr>
          <w:p>
            <w:pPr>
              <w:spacing w:before="0" w:after="0" w:line="264" w:lineRule="auto"/>
            </w:pPr>
            <w:r>
              <w:rPr>
                <w:rFonts w:ascii="Arial" w:hAnsi="Arial" w:cs="Arial" w:eastAsia="Arial"/>
                <w:color w:val="0E1E3A"/>
                <w:sz w:val="17"/>
                <w:szCs w:val="17"/>
              </w:rPr>
              <w:t>3.30</w:t>
            </w:r>
          </w:p>
        </w:tc>
        <w:tc>
          <w:tcPr>
            <w:tcW w:type="dxa" w:w="1663"/>
          </w:tcPr>
          <w:p>
            <w:pPr>
              <w:spacing w:before="0" w:after="0" w:line="264" w:lineRule="auto"/>
            </w:pPr>
            <w:r>
              <w:rPr>
                <w:rFonts w:ascii="Arial" w:hAnsi="Arial" w:cs="Arial" w:eastAsia="Arial"/>
                <w:color w:val="0E1E3A"/>
                <w:sz w:val="17"/>
                <w:szCs w:val="17"/>
              </w:rPr>
              <w:t>3.30</w:t>
            </w:r>
          </w:p>
        </w:tc>
        <w:tc>
          <w:tcPr>
            <w:tcW w:type="dxa" w:w="1663"/>
          </w:tcPr>
          <w:p>
            <w:pPr>
              <w:spacing w:before="0" w:after="0" w:line="264" w:lineRule="auto"/>
            </w:pPr>
            <w:r>
              <w:rPr>
                <w:rFonts w:ascii="Arial" w:hAnsi="Arial" w:cs="Arial" w:eastAsia="Arial"/>
                <w:color w:val="0E1E3A"/>
                <w:sz w:val="17"/>
                <w:szCs w:val="17"/>
              </w:rPr>
              <w:t>6.28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0.94</w:t>
            </w:r>
          </w:p>
        </w:tc>
        <w:tc>
          <w:tcPr>
            <w:tcW w:type="dxa" w:w="1663"/>
          </w:tcPr>
          <w:p>
            <w:pPr>
              <w:spacing w:before="0" w:after="0" w:line="264" w:lineRule="auto"/>
            </w:pPr>
            <w:r>
              <w:rPr>
                <w:rFonts w:ascii="Arial" w:hAnsi="Arial" w:cs="Arial" w:eastAsia="Arial"/>
                <w:color w:val="0E1E3A"/>
                <w:sz w:val="17"/>
                <w:szCs w:val="17"/>
              </w:rPr>
              <w:t>0.95</w:t>
            </w:r>
          </w:p>
        </w:tc>
        <w:tc>
          <w:tcPr>
            <w:tcW w:type="dxa" w:w="1663"/>
          </w:tcPr>
          <w:p>
            <w:pPr>
              <w:spacing w:before="0" w:after="0" w:line="264" w:lineRule="auto"/>
            </w:pPr>
            <w:r>
              <w:rPr>
                <w:rFonts w:ascii="Arial" w:hAnsi="Arial" w:cs="Arial" w:eastAsia="Arial"/>
                <w:color w:val="0E1E3A"/>
                <w:sz w:val="17"/>
                <w:szCs w:val="17"/>
              </w:rPr>
              <w:t>0.95</w:t>
            </w:r>
          </w:p>
        </w:tc>
        <w:tc>
          <w:tcPr>
            <w:tcW w:type="dxa" w:w="1663"/>
          </w:tcPr>
          <w:p>
            <w:pPr>
              <w:spacing w:before="0" w:after="0" w:line="264" w:lineRule="auto"/>
            </w:pPr>
            <w:r>
              <w:rPr>
                <w:rFonts w:ascii="Arial" w:hAnsi="Arial" w:cs="Arial" w:eastAsia="Arial"/>
                <w:color w:val="0E1E3A"/>
                <w:sz w:val="17"/>
                <w:szCs w:val="17"/>
              </w:rPr>
              <w:t>0.87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-2.18%</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2.35%</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-1.41</w:t>
            </w:r>
          </w:p>
        </w:tc>
        <w:tc>
          <w:tcPr>
            <w:tcW w:type="dxa" w:w="1663"/>
          </w:tcPr>
          <w:p>
            <w:pPr>
              <w:spacing w:before="0" w:after="0" w:line="264" w:lineRule="auto"/>
            </w:pPr>
            <w:r>
              <w:rPr>
                <w:rFonts w:ascii="Arial" w:hAnsi="Arial" w:cs="Arial" w:eastAsia="Arial"/>
                <w:color w:val="0E1E3A"/>
                <w:sz w:val="17"/>
                <w:szCs w:val="17"/>
              </w:rPr>
              <w:t>0.27</w:t>
            </w:r>
          </w:p>
        </w:tc>
        <w:tc>
          <w:tcPr>
            <w:tcW w:type="dxa" w:w="1663"/>
          </w:tcPr>
          <w:p>
            <w:pPr>
              <w:spacing w:before="0" w:after="0" w:line="264" w:lineRule="auto"/>
            </w:pPr>
            <w:r>
              <w:rPr>
                <w:rFonts w:ascii="Arial" w:hAnsi="Arial" w:cs="Arial" w:eastAsia="Arial"/>
                <w:color w:val="0E1E3A"/>
                <w:sz w:val="17"/>
                <w:szCs w:val="17"/>
              </w:rPr>
              <w:t>0.27</w:t>
            </w:r>
          </w:p>
        </w:tc>
        <w:tc>
          <w:tcPr>
            <w:tcW w:type="dxa" w:w="1663"/>
          </w:tcPr>
          <w:p>
            <w:pPr>
              <w:spacing w:before="0" w:after="0" w:line="264" w:lineRule="auto"/>
            </w:pPr>
            <w:r>
              <w:rPr>
                <w:rFonts w:ascii="Arial" w:hAnsi="Arial" w:cs="Arial" w:eastAsia="Arial"/>
                <w:color w:val="0E1E3A"/>
                <w:sz w:val="17"/>
                <w:szCs w:val="17"/>
              </w:rPr>
              <w:t>0.37</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Peformance as of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2" name="Picture 9059"/>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of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60"/>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Q4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