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0" w:line="20" w:lineRule="exact"/>
        <w:rPr>
          <w:sz w:val="2"/>
          <w:szCs w:val="2"/>
        </w:rPr>
      </w:pPr>
      <w:r>
        <w:rPr>
          <w:sz w:val="2"/>
        </w:rPr>
        <w:drawing>
          <wp:anchor xmlns:a="http://schemas.openxmlformats.org/drawingml/2006/main" xmlns:pic="http://schemas.openxmlformats.org/drawingml/2006/picture" distT="0" distB="216000" distL="0" distR="0" simplePos="0" relativeHeight="2" behindDoc="0" locked="1" layoutInCell="1" allowOverlap="0">
            <wp:simplePos x="0" y="0"/>
            <wp:positionH relativeFrom="page">
              <wp:posOffset>0</wp:posOffset>
            </wp:positionH>
            <wp:positionV relativeFrom="page">
              <wp:posOffset>0</wp:posOffset>
            </wp:positionV>
            <wp:extent cx="7560000" cy="3132544"/>
            <wp:effectExtent l="0" t="0" r="0" b="0"/>
            <wp:wrapTopAndBottom/>
            <wp:docPr id="1" name="Banner 9022"/>
            <wp:cNvGraphicFramePr/>
            <a:graphic>
              <a:graphicData uri="http://schemas.openxmlformats.org/drawingml/2006/picture">
                <pic:pic>
                  <pic:nvPicPr>
                    <pic:cNvPr id="9022" name="banner9022.jpg"/>
                    <pic:cNvPicPr/>
                  </pic:nvPicPr>
                  <pic:blipFill>
                    <a:blip r:embed="rId13"/>
                    <a:stretch>
                      <a:fillRect/>
                    </a:stretch>
                  </pic:blipFill>
                  <pic:spPr>
                    <a:xfrm>
                      <a:off x="0" y="0"/>
                      <a:ext cx="7560000" cy="3132544"/>
                    </a:xfrm>
                    <a:prstGeom prst="rect">
                      <a:avLst/>
                    </a:prstGeom>
                  </pic:spPr>
                </pic:pic>
              </a:graphicData>
            </a:graphic>
          </wp:anchor>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 name="Picture 9023"/>
            <wp:cNvGraphicFramePr>
              <a:graphicFrameLocks noChangeAspect="1"/>
            </wp:cNvGraphicFramePr>
            <a:graphic>
              <a:graphicData uri="http://schemas.openxmlformats.org/drawingml/2006/picture">
                <pic:pic>
                  <pic:nvPicPr>
                    <pic:cNvPr id="0" name="ico_f2e52b5aa522e94c0637246ef4ce1c1b.png"/>
                    <pic:cNvPicPr/>
                  </pic:nvPicPr>
                  <pic:blipFill>
                    <a:blip r:embed="rId1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نبذة عامة عن الصندوق</w:t>
      </w:r>
    </w:p>
    <w:p>
      <w:pPr>
        <w:bidi w:val="1"/>
        <w:spacing w:before="0" w:after="80" w:line="312" w:lineRule="auto"/>
      </w:pPr>
      <w:r>
        <w:rPr>
          <w:rFonts w:ascii="Arial" w:hAnsi="Arial" w:cs="Arial" w:eastAsia="Arial"/>
          <w:color w:val="0E1E3A"/>
          <w:sz w:val="20"/>
          <w:szCs w:val="20"/>
          <w:rtl/>
        </w:rPr>
        <w:t>صندوق "الخبير للدخل المتنوع المتداول" ("الصندوق") هو صندوق استثمار متداول مغلق متوافق مع ضوابط الهيئة الشرعية، وتم إنشاؤه بموجب الأنظمة واللوائح المعمول بها في المملكة، ويخضع لرقابة وإشراف هيئة السوق المالية. ويتمثل الهدف الاستثماري للصندوق في تحقيق دخل دوري للمستثمرين من خلال الاستثمار في أصول مدّرة للدخل متوافقة مع ضوابط الهيئة الشرعية لتحقيق دخل دوري للصندوق. وينوي مدير الصندوق "الخبير المالية" الاستثمار في الصكوك، وصفقات التمويل التجاري، وصفقات الإجارة، وصناديق الدخل، وصفقات المرابحة، إما بشكل مباشر أو من خلال صناديق استثمار.</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3" name="Picture 902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البيانات الأساسية للصندوق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التداول</w:t>
            </w:r>
          </w:p>
        </w:tc>
        <w:tc>
          <w:tcPr>
            <w:tcW w:type="dxa" w:w="6860"/>
          </w:tcPr>
          <w:p>
            <w:pPr>
              <w:bidi w:val="1"/>
              <w:spacing w:before="0" w:after="0" w:line="276" w:lineRule="auto"/>
            </w:pPr>
            <w:r>
              <w:rPr>
                <w:rFonts w:ascii="Arial" w:hAnsi="Arial" w:cs="Arial" w:eastAsia="Arial"/>
                <w:b/>
                <w:bCs/>
                <w:color w:val="0E1E3A"/>
                <w:sz w:val="18"/>
                <w:szCs w:val="18"/>
                <w:rtl/>
              </w:rPr>
              <w:t>4700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رمز بلومبرغ</w:t>
            </w:r>
          </w:p>
        </w:tc>
        <w:tc>
          <w:tcPr>
            <w:tcW w:type="dxa" w:w="6860"/>
          </w:tcPr>
          <w:p>
            <w:pPr>
              <w:bidi w:val="1"/>
              <w:spacing w:before="0" w:after="0" w:line="276" w:lineRule="auto"/>
            </w:pPr>
            <w:r>
              <w:rPr>
                <w:rFonts w:ascii="Arial" w:hAnsi="Arial" w:cs="Arial" w:eastAsia="Arial"/>
                <w:b/>
                <w:bCs/>
                <w:color w:val="0E1E3A"/>
                <w:sz w:val="18"/>
                <w:szCs w:val="18"/>
                <w:rtl/>
              </w:rPr>
              <w:t>AKDICIF:AB</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تاريخ الإدراج</w:t>
            </w:r>
          </w:p>
        </w:tc>
        <w:tc>
          <w:tcPr>
            <w:tcW w:type="dxa" w:w="6860"/>
          </w:tcPr>
          <w:p>
            <w:pPr>
              <w:bidi w:val="1"/>
              <w:spacing w:before="0" w:after="0" w:line="276" w:lineRule="auto"/>
            </w:pPr>
            <w:r>
              <w:rPr>
                <w:rFonts w:ascii="Arial" w:hAnsi="Arial" w:cs="Arial" w:eastAsia="Arial"/>
                <w:b/>
                <w:bCs/>
                <w:color w:val="0E1E3A"/>
                <w:sz w:val="18"/>
                <w:szCs w:val="18"/>
                <w:rtl/>
              </w:rPr>
              <w:t>19 يناير 2021م</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مدة الصندوق</w:t>
            </w:r>
          </w:p>
        </w:tc>
        <w:tc>
          <w:tcPr>
            <w:tcW w:type="dxa" w:w="6860"/>
          </w:tcPr>
          <w:p>
            <w:pPr>
              <w:bidi w:val="1"/>
              <w:spacing w:before="0" w:after="0" w:line="276" w:lineRule="auto"/>
            </w:pPr>
            <w:r>
              <w:rPr>
                <w:rFonts w:ascii="Arial" w:hAnsi="Arial" w:cs="Arial" w:eastAsia="Arial"/>
                <w:b/>
                <w:bCs/>
                <w:color w:val="0E1E3A"/>
                <w:sz w:val="18"/>
                <w:szCs w:val="18"/>
                <w:rtl/>
              </w:rPr>
              <w:t>99 سنة تبدأ من تاريخ الإدراج، قابلة للتمديد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الوحدة</w:t>
            </w:r>
          </w:p>
        </w:tc>
        <w:tc>
          <w:tcPr>
            <w:tcW w:type="dxa" w:w="6860"/>
          </w:tcPr>
          <w:p>
            <w:pPr>
              <w:bidi w:val="1"/>
              <w:spacing w:before="0" w:after="0" w:line="276" w:lineRule="auto"/>
            </w:pPr>
            <w:r>
              <w:rPr>
                <w:rFonts w:ascii="Arial" w:hAnsi="Arial" w:cs="Arial" w:eastAsia="Arial"/>
                <w:b/>
                <w:bCs/>
                <w:color w:val="0E1E3A"/>
                <w:sz w:val="18"/>
                <w:szCs w:val="18"/>
                <w:rtl/>
              </w:rPr>
              <w:t>9.9877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حجم أصول الصندوق *</w:t>
            </w:r>
          </w:p>
        </w:tc>
        <w:tc>
          <w:tcPr>
            <w:tcW w:type="dxa" w:w="6860"/>
          </w:tcPr>
          <w:p>
            <w:pPr>
              <w:bidi w:val="1"/>
              <w:spacing w:before="0" w:after="0" w:line="276" w:lineRule="auto"/>
            </w:pPr>
            <w:r>
              <w:rPr>
                <w:rFonts w:ascii="Arial" w:hAnsi="Arial" w:cs="Arial" w:eastAsia="Arial"/>
                <w:b/>
                <w:bCs/>
                <w:color w:val="0E1E3A"/>
                <w:sz w:val="18"/>
                <w:szCs w:val="18"/>
                <w:rtl/>
              </w:rPr>
              <w:t>589,443,119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رأس مال الصندوق</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التمويل *</w:t>
            </w:r>
          </w:p>
        </w:tc>
        <w:tc>
          <w:tcPr>
            <w:tcW w:type="dxa" w:w="6860"/>
          </w:tcPr>
          <w:p>
            <w:pPr>
              <w:bidi w:val="1"/>
              <w:spacing w:before="0" w:after="0" w:line="276" w:lineRule="auto"/>
            </w:pPr>
            <w:r>
              <w:rPr>
                <w:rFonts w:ascii="Arial" w:hAnsi="Arial" w:cs="Arial" w:eastAsia="Arial"/>
                <w:b/>
                <w:bCs/>
                <w:color w:val="0E1E3A"/>
                <w:sz w:val="18"/>
                <w:szCs w:val="18"/>
                <w:rtl/>
              </w:rPr>
              <w:t>112,979,272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‎19.17%‎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الاقتراض من قيمة صافي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‎23.92%‎</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قيمة ونسبة استثمار مدير الصندوق من صافي قيمة أصول الصندوق في نهاية الربع المعني</w:t>
            </w:r>
          </w:p>
        </w:tc>
        <w:tc>
          <w:tcPr>
            <w:tcW w:type="dxa" w:w="6860"/>
          </w:tcPr>
          <w:p>
            <w:pPr>
              <w:bidi w:val="1"/>
              <w:spacing w:before="0" w:after="0" w:line="276" w:lineRule="auto"/>
            </w:pPr>
            <w:r>
              <w:rPr>
                <w:rFonts w:ascii="Arial" w:hAnsi="Arial" w:cs="Arial" w:eastAsia="Arial"/>
                <w:b/>
                <w:bCs/>
                <w:color w:val="0E1E3A"/>
                <w:sz w:val="18"/>
                <w:szCs w:val="18"/>
              </w:rPr>
              <w:t>‎0.0%‎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مستوى المخاطر</w:t>
            </w:r>
          </w:p>
        </w:tc>
        <w:tc>
          <w:tcPr>
            <w:tcW w:type="dxa" w:w="6860"/>
          </w:tcPr>
          <w:p>
            <w:pPr>
              <w:bidi w:val="1"/>
              <w:spacing w:before="0" w:after="0" w:line="276" w:lineRule="auto"/>
            </w:pPr>
            <w:r>
              <w:rPr>
                <w:rFonts w:ascii="Arial" w:hAnsi="Arial" w:cs="Arial" w:eastAsia="Arial"/>
                <w:b/>
                <w:bCs/>
                <w:color w:val="0E1E3A"/>
                <w:sz w:val="18"/>
                <w:szCs w:val="18"/>
                <w:rtl/>
              </w:rPr>
              <w:t>مرتفع</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عملة الصندوق</w:t>
            </w:r>
          </w:p>
        </w:tc>
        <w:tc>
          <w:tcPr>
            <w:tcW w:type="dxa" w:w="6860"/>
          </w:tcPr>
          <w:p>
            <w:pPr>
              <w:bidi w:val="1"/>
              <w:spacing w:before="0" w:after="0" w:line="276" w:lineRule="auto"/>
            </w:pPr>
            <w:r>
              <w:rPr>
                <w:rFonts w:ascii="Arial" w:hAnsi="Arial" w:cs="Arial" w:eastAsia="Arial"/>
                <w:b/>
                <w:bCs/>
                <w:color w:val="0E1E3A"/>
                <w:sz w:val="18"/>
                <w:szCs w:val="18"/>
                <w:rtl/>
              </w:rPr>
              <w:t>ريال سعودي</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مستشار الاستثمار ومدير الصندوق من الباطن</w:t>
            </w:r>
          </w:p>
        </w:tc>
        <w:tc>
          <w:tcPr>
            <w:tcW w:type="dxa" w:w="6860"/>
          </w:tcPr>
          <w:p>
            <w:pPr>
              <w:bidi w:val="1"/>
              <w:spacing w:before="0" w:after="0" w:line="276" w:lineRule="auto"/>
            </w:pPr>
            <w:r>
              <w:rPr>
                <w:rFonts w:ascii="Arial" w:hAnsi="Arial" w:cs="Arial" w:eastAsia="Arial"/>
                <w:b/>
                <w:bCs/>
                <w:color w:val="0E1E3A"/>
                <w:sz w:val="18"/>
                <w:szCs w:val="18"/>
                <w:rtl/>
              </w:rPr>
              <w:t>لا يوجد</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رسوم الإدارة للصناديق المستثمر فيها</w:t>
            </w:r>
          </w:p>
        </w:tc>
        <w:tc>
          <w:tcPr>
            <w:tcW w:type="dxa" w:w="6860"/>
          </w:tcPr>
          <w:p>
            <w:pPr>
              <w:bidi w:val="1"/>
              <w:spacing w:before="0" w:after="0" w:line="276" w:lineRule="auto"/>
            </w:pPr>
            <w:r>
              <w:rPr>
                <w:rFonts w:ascii="Arial" w:hAnsi="Arial" w:cs="Arial" w:eastAsia="Arial"/>
                <w:b/>
                <w:bCs/>
                <w:color w:val="0E1E3A"/>
                <w:sz w:val="18"/>
                <w:szCs w:val="18"/>
              </w:rPr>
              <w:t>‎0.42%‎</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2022م (غير مدققة).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4" name="Picture 9025"/>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نسب تركز الاستثمارات في محفظة الصندوق *</w:t>
      </w:r>
    </w:p>
    <w:p>
      <w:pPr>
        <w:bidi w:val="1"/>
        <w:spacing w:before="0" w:after="80" w:line="240" w:lineRule="auto"/>
        <w:jc w:val="center"/>
      </w:pPr>
      <w:r>
        <w:drawing>
          <wp:inline xmlns:a="http://schemas.openxmlformats.org/drawingml/2006/main" xmlns:pic="http://schemas.openxmlformats.org/drawingml/2006/picture">
            <wp:extent cx="6336000" cy="1978811"/>
            <wp:docPr id="5" name="Picture 9026"/>
            <wp:cNvGraphicFramePr>
              <a:graphicFrameLocks noChangeAspect="1"/>
            </wp:cNvGraphicFramePr>
            <a:graphic>
              <a:graphicData uri="http://schemas.openxmlformats.org/drawingml/2006/picture">
                <pic:pic>
                  <pic:nvPicPr>
                    <pic:cNvPr id="0" name="x2.j.jpg"/>
                    <pic:cNvPicPr/>
                  </pic:nvPicPr>
                  <pic:blipFill>
                    <a:blip r:embed="rId16"/>
                    <a:stretch>
                      <a:fillRect/>
                    </a:stretch>
                  </pic:blipFill>
                  <pic:spPr>
                    <a:xfrm>
                      <a:off x="0" y="0"/>
                      <a:ext cx="6336000" cy="1978811"/>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يوضح الرسم البياني أكبر الاستثمارات في الصندوق والتوزيع القطاعي للاستثمارات معًا.</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6" name="Picture 902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المؤشرات المالية*</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فترات التقييم</w:t>
            </w:r>
          </w:p>
        </w:tc>
        <w:tc>
          <w:tcPr>
            <w:tcW w:type="dxa" w:w="6860"/>
          </w:tcPr>
          <w:p>
            <w:pPr>
              <w:bidi w:val="1"/>
              <w:spacing w:before="0" w:after="0" w:line="276" w:lineRule="auto"/>
            </w:pPr>
            <w:r>
              <w:rPr>
                <w:rFonts w:ascii="Arial" w:hAnsi="Arial" w:cs="Arial" w:eastAsia="Arial"/>
                <w:b/>
                <w:bCs/>
                <w:color w:val="0E1E3A"/>
                <w:sz w:val="18"/>
                <w:szCs w:val="18"/>
                <w:rtl/>
              </w:rPr>
              <w:t>ربع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tl/>
              </w:rPr>
              <w:t>589,443,119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صافي قيمة أصول وحدات الصندوق *</w:t>
            </w:r>
          </w:p>
        </w:tc>
        <w:tc>
          <w:tcPr>
            <w:tcW w:type="dxa" w:w="6860"/>
          </w:tcPr>
          <w:p>
            <w:pPr>
              <w:bidi w:val="1"/>
              <w:spacing w:before="0" w:after="0" w:line="276" w:lineRule="auto"/>
            </w:pPr>
            <w:r>
              <w:rPr>
                <w:rFonts w:ascii="Arial" w:hAnsi="Arial" w:cs="Arial" w:eastAsia="Arial"/>
                <w:b/>
                <w:bCs/>
                <w:color w:val="0E1E3A"/>
                <w:sz w:val="18"/>
                <w:szCs w:val="18"/>
                <w:rtl/>
              </w:rPr>
              <w:t>472,231,297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مبلغ ونسبة مصاريف التعامل للربع المعني إلى متوسط صافي قيمة أصول الصندوق</w:t>
            </w:r>
          </w:p>
        </w:tc>
        <w:tc>
          <w:tcPr>
            <w:tcW w:type="dxa" w:w="6860"/>
          </w:tcPr>
          <w:p>
            <w:pPr>
              <w:bidi w:val="1"/>
              <w:spacing w:before="0" w:after="0" w:line="276" w:lineRule="auto"/>
            </w:pPr>
            <w:r>
              <w:rPr>
                <w:rFonts w:ascii="Arial" w:hAnsi="Arial" w:cs="Arial" w:eastAsia="Arial"/>
                <w:b/>
                <w:bCs/>
                <w:color w:val="0E1E3A"/>
                <w:sz w:val="18"/>
                <w:szCs w:val="18"/>
              </w:rPr>
              <w:t>‎0.00%‎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‎0.38%‎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القيمة الإجمالية لأصول الصندوق ***</w:t>
            </w:r>
          </w:p>
        </w:tc>
        <w:tc>
          <w:tcPr>
            <w:tcW w:type="dxa" w:w="6860"/>
          </w:tcPr>
          <w:p>
            <w:pPr>
              <w:bidi w:val="1"/>
              <w:spacing w:before="0" w:after="0" w:line="276" w:lineRule="auto"/>
            </w:pPr>
            <w:r>
              <w:rPr>
                <w:rFonts w:ascii="Arial" w:hAnsi="Arial" w:cs="Arial" w:eastAsia="Arial"/>
                <w:b/>
                <w:bCs/>
                <w:color w:val="0E1E3A"/>
                <w:sz w:val="18"/>
                <w:szCs w:val="18"/>
              </w:rPr>
              <w:t>‎0.47%‎</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تكاليف الصندوق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‎0.58%‎</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المصروفات والتكاليف والأتعاب الإجمالية للربع المعني</w:t>
            </w:r>
          </w:p>
        </w:tc>
        <w:tc>
          <w:tcPr>
            <w:tcW w:type="dxa" w:w="6860"/>
          </w:tcPr>
          <w:p>
            <w:pPr>
              <w:bidi w:val="1"/>
              <w:spacing w:before="0" w:after="0" w:line="276" w:lineRule="auto"/>
            </w:pPr>
            <w:r>
              <w:rPr>
                <w:rFonts w:ascii="Arial" w:hAnsi="Arial" w:cs="Arial" w:eastAsia="Arial"/>
                <w:b/>
                <w:bCs/>
                <w:color w:val="0E1E3A"/>
                <w:sz w:val="18"/>
                <w:szCs w:val="18"/>
                <w:rtl/>
              </w:rPr>
              <w:t>2,741,443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المصروفات والأتعاب الإجمالية للربع المعني إلى متوسط صافي أصول الصندوق **</w:t>
            </w:r>
          </w:p>
        </w:tc>
        <w:tc>
          <w:tcPr>
            <w:tcW w:type="dxa" w:w="6860"/>
          </w:tcPr>
          <w:p>
            <w:pPr>
              <w:bidi w:val="1"/>
              <w:spacing w:before="0" w:after="0" w:line="276" w:lineRule="auto"/>
            </w:pPr>
            <w:r>
              <w:rPr>
                <w:rFonts w:ascii="Arial" w:hAnsi="Arial" w:cs="Arial" w:eastAsia="Arial"/>
                <w:b/>
                <w:bCs/>
                <w:color w:val="0E1E3A"/>
                <w:sz w:val="18"/>
                <w:szCs w:val="18"/>
              </w:rPr>
              <w:t>‎0.48%‎</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مارس 2022م (غير مدققة).</w:t>
      </w:r>
      <w:r>
        <w:br/>
      </w:r>
      <w:r>
        <w:rPr>
          <w:rFonts w:ascii="Arial" w:hAnsi="Arial" w:cs="Arial" w:eastAsia="Arial"/>
          <w:color w:val="5A6478"/>
          <w:sz w:val="17"/>
          <w:szCs w:val="17"/>
          <w:rtl/>
        </w:rPr>
        <w:t>** مصروفات وأتعاب الصندوق هي كافة مصروفات الصندوق خلال الربع المعني ما عدا تكلفة التمويل.</w:t>
      </w:r>
      <w:r>
        <w:br/>
      </w:r>
      <w:r>
        <w:rPr>
          <w:rFonts w:ascii="Arial" w:hAnsi="Arial" w:cs="Arial" w:eastAsia="Arial"/>
          <w:color w:val="5A6478"/>
          <w:sz w:val="17"/>
          <w:szCs w:val="17"/>
          <w:rtl/>
        </w:rPr>
        <w:t>*** تكاليف الصندوق هي كافة أتعاب ومصروفات الصندوق متضمنة تكاليف التمويل.</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7" name="Picture 9028"/>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الاستثمارات حسب الموقع الجغرافي</w:t>
      </w:r>
    </w:p>
    <w:p>
      <w:pPr>
        <w:bidi w:val="1"/>
        <w:spacing w:before="0" w:after="80" w:line="240" w:lineRule="auto"/>
        <w:jc w:val="center"/>
      </w:pPr>
      <w:r>
        <w:drawing>
          <wp:inline xmlns:a="http://schemas.openxmlformats.org/drawingml/2006/main" xmlns:pic="http://schemas.openxmlformats.org/drawingml/2006/picture">
            <wp:extent cx="6336000" cy="1883676"/>
            <wp:docPr id="8" name="Picture 9029"/>
            <wp:cNvGraphicFramePr>
              <a:graphicFrameLocks noChangeAspect="1"/>
            </wp:cNvGraphicFramePr>
            <a:graphic>
              <a:graphicData uri="http://schemas.openxmlformats.org/drawingml/2006/picture">
                <pic:pic>
                  <pic:nvPicPr>
                    <pic:cNvPr id="0" name="x3.j.jpg"/>
                    <pic:cNvPicPr/>
                  </pic:nvPicPr>
                  <pic:blipFill>
                    <a:blip r:embed="rId17"/>
                    <a:stretch>
                      <a:fillRect/>
                    </a:stretch>
                  </pic:blipFill>
                  <pic:spPr>
                    <a:xfrm>
                      <a:off x="0" y="0"/>
                      <a:ext cx="6336000" cy="1883676"/>
                    </a:xfrm>
                    <a:prstGeom prst="rect"/>
                  </pic:spPr>
                </pic:pic>
              </a:graphicData>
            </a:graphic>
          </wp:inline>
        </w:drawing>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9" name="Picture 9030"/>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أصول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التمويل التجاري</w:t>
            </w:r>
          </w:p>
        </w:tc>
        <w:tc>
          <w:tcPr>
            <w:tcW w:type="dxa" w:w="6860"/>
          </w:tcPr>
          <w:p>
            <w:pPr>
              <w:bidi w:val="1"/>
              <w:spacing w:before="0" w:after="0" w:line="276" w:lineRule="auto"/>
            </w:pPr>
            <w:r>
              <w:rPr>
                <w:rFonts w:ascii="Arial" w:hAnsi="Arial" w:cs="Arial" w:eastAsia="Arial"/>
                <w:b/>
                <w:bCs/>
                <w:color w:val="0E1E3A"/>
                <w:sz w:val="18"/>
                <w:szCs w:val="18"/>
                <w:rtl/>
              </w:rPr>
              <w:t>99,860,580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الإجارة</w:t>
            </w:r>
          </w:p>
        </w:tc>
        <w:tc>
          <w:tcPr>
            <w:tcW w:type="dxa" w:w="6860"/>
          </w:tcPr>
          <w:p>
            <w:pPr>
              <w:bidi w:val="1"/>
              <w:spacing w:before="0" w:after="0" w:line="276" w:lineRule="auto"/>
            </w:pPr>
            <w:r>
              <w:rPr>
                <w:rFonts w:ascii="Arial" w:hAnsi="Arial" w:cs="Arial" w:eastAsia="Arial"/>
                <w:b/>
                <w:bCs/>
                <w:color w:val="0E1E3A"/>
                <w:sz w:val="18"/>
                <w:szCs w:val="18"/>
                <w:rtl/>
              </w:rPr>
              <w:t>216,161,947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الصكوك</w:t>
            </w:r>
          </w:p>
        </w:tc>
        <w:tc>
          <w:tcPr>
            <w:tcW w:type="dxa" w:w="6860"/>
          </w:tcPr>
          <w:p>
            <w:pPr>
              <w:bidi w:val="1"/>
              <w:spacing w:before="0" w:after="0" w:line="276" w:lineRule="auto"/>
            </w:pPr>
            <w:r>
              <w:rPr>
                <w:rFonts w:ascii="Arial" w:hAnsi="Arial" w:cs="Arial" w:eastAsia="Arial"/>
                <w:b/>
                <w:bCs/>
                <w:color w:val="0E1E3A"/>
                <w:sz w:val="18"/>
                <w:szCs w:val="18"/>
                <w:rtl/>
              </w:rPr>
              <w:t>77,423,435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قيمة محفظة صناديق الدخل</w:t>
            </w:r>
          </w:p>
        </w:tc>
        <w:tc>
          <w:tcPr>
            <w:tcW w:type="dxa" w:w="6860"/>
          </w:tcPr>
          <w:p>
            <w:pPr>
              <w:bidi w:val="1"/>
              <w:spacing w:before="0" w:after="0" w:line="276" w:lineRule="auto"/>
            </w:pPr>
            <w:r>
              <w:rPr>
                <w:rFonts w:ascii="Arial" w:hAnsi="Arial" w:cs="Arial" w:eastAsia="Arial"/>
                <w:b/>
                <w:bCs/>
                <w:color w:val="0E1E3A"/>
                <w:sz w:val="18"/>
                <w:szCs w:val="18"/>
                <w:rtl/>
              </w:rPr>
              <w:t>139,154,137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النقد وما في حكمه</w:t>
            </w:r>
          </w:p>
        </w:tc>
        <w:tc>
          <w:tcPr>
            <w:tcW w:type="dxa" w:w="6860"/>
          </w:tcPr>
          <w:p>
            <w:pPr>
              <w:bidi w:val="1"/>
              <w:spacing w:before="0" w:after="0" w:line="276" w:lineRule="auto"/>
            </w:pPr>
            <w:r>
              <w:rPr>
                <w:rFonts w:ascii="Arial" w:hAnsi="Arial" w:cs="Arial" w:eastAsia="Arial"/>
                <w:b/>
                <w:bCs/>
                <w:color w:val="0E1E3A"/>
                <w:sz w:val="18"/>
                <w:szCs w:val="18"/>
                <w:rtl/>
              </w:rPr>
              <w:t>56,843,021 ر.س.</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0" name="Picture 9031"/>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صافي قيمة الأصول وسعر الوحدة *</w:t>
      </w:r>
    </w:p>
    <w:p>
      <w:pPr>
        <w:bidi w:val="1"/>
        <w:spacing w:before="0" w:after="80" w:line="240" w:lineRule="auto"/>
        <w:jc w:val="center"/>
      </w:pPr>
      <w:r>
        <w:drawing>
          <wp:inline xmlns:a="http://schemas.openxmlformats.org/drawingml/2006/main" xmlns:pic="http://schemas.openxmlformats.org/drawingml/2006/picture">
            <wp:extent cx="6336000" cy="3082378"/>
            <wp:docPr id="11" name="Picture 9032"/>
            <wp:cNvGraphicFramePr>
              <a:graphicFrameLocks noChangeAspect="1"/>
            </wp:cNvGraphicFramePr>
            <a:graphic>
              <a:graphicData uri="http://schemas.openxmlformats.org/drawingml/2006/picture">
                <pic:pic>
                  <pic:nvPicPr>
                    <pic:cNvPr id="0" name="x4.j.jpg"/>
                    <pic:cNvPicPr/>
                  </pic:nvPicPr>
                  <pic:blipFill>
                    <a:blip r:embed="rId18"/>
                    <a:stretch>
                      <a:fillRect/>
                    </a:stretch>
                  </pic:blipFill>
                  <pic:spPr>
                    <a:xfrm>
                      <a:off x="0" y="0"/>
                      <a:ext cx="6336000" cy="3082378"/>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2" name="Picture 903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القيمة السوقية للصندوق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الإدراج</w:t>
            </w:r>
          </w:p>
        </w:tc>
        <w:tc>
          <w:tcPr>
            <w:tcW w:type="dxa" w:w="6860"/>
          </w:tcPr>
          <w:p>
            <w:pPr>
              <w:bidi w:val="1"/>
              <w:spacing w:before="0" w:after="0" w:line="276" w:lineRule="auto"/>
            </w:pPr>
            <w:r>
              <w:rPr>
                <w:rFonts w:ascii="Arial" w:hAnsi="Arial" w:cs="Arial" w:eastAsia="Arial"/>
                <w:b/>
                <w:bCs/>
                <w:color w:val="0E1E3A"/>
                <w:sz w:val="18"/>
                <w:szCs w:val="18"/>
                <w:rtl/>
              </w:rPr>
              <w:t>472,814,700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2021م</w:t>
            </w:r>
          </w:p>
        </w:tc>
        <w:tc>
          <w:tcPr>
            <w:tcW w:type="dxa" w:w="6860"/>
          </w:tcPr>
          <w:p>
            <w:pPr>
              <w:bidi w:val="1"/>
              <w:spacing w:before="0" w:after="0" w:line="276" w:lineRule="auto"/>
            </w:pPr>
            <w:r>
              <w:rPr>
                <w:rFonts w:ascii="Arial" w:hAnsi="Arial" w:cs="Arial" w:eastAsia="Arial"/>
                <w:b/>
                <w:bCs/>
                <w:color w:val="0E1E3A"/>
                <w:sz w:val="18"/>
                <w:szCs w:val="18"/>
                <w:rtl/>
              </w:rPr>
              <w:t>428,370,118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يونيو 2021م</w:t>
            </w:r>
          </w:p>
        </w:tc>
        <w:tc>
          <w:tcPr>
            <w:tcW w:type="dxa" w:w="6860"/>
          </w:tcPr>
          <w:p>
            <w:pPr>
              <w:bidi w:val="1"/>
              <w:spacing w:before="0" w:after="0" w:line="276" w:lineRule="auto"/>
            </w:pPr>
            <w:r>
              <w:rPr>
                <w:rFonts w:ascii="Arial" w:hAnsi="Arial" w:cs="Arial" w:eastAsia="Arial"/>
                <w:b/>
                <w:bCs/>
                <w:color w:val="0E1E3A"/>
                <w:sz w:val="18"/>
                <w:szCs w:val="18"/>
                <w:rtl/>
              </w:rPr>
              <w:t>433,098,265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30 سبتمبر 2021م</w:t>
            </w:r>
          </w:p>
        </w:tc>
        <w:tc>
          <w:tcPr>
            <w:tcW w:type="dxa" w:w="6860"/>
          </w:tcPr>
          <w:p>
            <w:pPr>
              <w:bidi w:val="1"/>
              <w:spacing w:before="0" w:after="0" w:line="276" w:lineRule="auto"/>
            </w:pPr>
            <w:r>
              <w:rPr>
                <w:rFonts w:ascii="Arial" w:hAnsi="Arial" w:cs="Arial" w:eastAsia="Arial"/>
                <w:b/>
                <w:bCs/>
                <w:color w:val="0E1E3A"/>
                <w:sz w:val="18"/>
                <w:szCs w:val="18"/>
                <w:rtl/>
              </w:rPr>
              <w:t>427,897,304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ديسمبر 2021م</w:t>
            </w:r>
          </w:p>
        </w:tc>
        <w:tc>
          <w:tcPr>
            <w:tcW w:type="dxa" w:w="6860"/>
          </w:tcPr>
          <w:p>
            <w:pPr>
              <w:bidi w:val="1"/>
              <w:spacing w:before="0" w:after="0" w:line="276" w:lineRule="auto"/>
            </w:pPr>
            <w:r>
              <w:rPr>
                <w:rFonts w:ascii="Arial" w:hAnsi="Arial" w:cs="Arial" w:eastAsia="Arial"/>
                <w:b/>
                <w:bCs/>
                <w:color w:val="0E1E3A"/>
                <w:sz w:val="18"/>
                <w:szCs w:val="18"/>
                <w:rtl/>
              </w:rPr>
              <w:t>409,930,345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كما في تاريخ 31 مارس 2022م</w:t>
            </w:r>
          </w:p>
        </w:tc>
        <w:tc>
          <w:tcPr>
            <w:tcW w:type="dxa" w:w="6860"/>
          </w:tcPr>
          <w:p>
            <w:pPr>
              <w:bidi w:val="1"/>
              <w:spacing w:before="0" w:after="0" w:line="276" w:lineRule="auto"/>
            </w:pPr>
            <w:r>
              <w:rPr>
                <w:rFonts w:ascii="Arial" w:hAnsi="Arial" w:cs="Arial" w:eastAsia="Arial"/>
                <w:b/>
                <w:bCs/>
                <w:color w:val="0E1E3A"/>
                <w:sz w:val="18"/>
                <w:szCs w:val="18"/>
                <w:rtl/>
              </w:rPr>
              <w:t>402,838,124 ر.س.</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بناءً على سعر الوحدة.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3" name="Picture 903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بيانات وحدات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بنهاية الربع الأول (31 مارس 2022م)</w:t>
            </w:r>
          </w:p>
        </w:tc>
        <w:tc>
          <w:tcPr>
            <w:tcW w:type="dxa" w:w="6860"/>
          </w:tcPr>
          <w:p>
            <w:pPr>
              <w:bidi w:val="1"/>
              <w:spacing w:before="0" w:after="0" w:line="276" w:lineRule="auto"/>
            </w:pPr>
            <w:r>
              <w:rPr>
                <w:rFonts w:ascii="Arial" w:hAnsi="Arial" w:cs="Arial" w:eastAsia="Arial"/>
                <w:b/>
                <w:bCs/>
                <w:color w:val="0E1E3A"/>
                <w:sz w:val="18"/>
                <w:szCs w:val="18"/>
                <w:rtl/>
              </w:rPr>
              <w:t>8.52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التغير في سعر الوحدة خلال الربع الحالي (من تاريخ 31 ديسمبر 2021م إلى 31 مارس 2022م)*</w:t>
            </w:r>
          </w:p>
        </w:tc>
        <w:tc>
          <w:tcPr>
            <w:tcW w:type="dxa" w:w="6860"/>
          </w:tcPr>
          <w:p>
            <w:pPr>
              <w:bidi w:val="1"/>
              <w:spacing w:before="0" w:after="0" w:line="276" w:lineRule="auto"/>
            </w:pPr>
            <w:r>
              <w:rPr>
                <w:rFonts w:ascii="Arial" w:hAnsi="Arial" w:cs="Arial" w:eastAsia="Arial"/>
                <w:b/>
                <w:bCs/>
                <w:color w:val="0E1E3A"/>
                <w:sz w:val="18"/>
                <w:szCs w:val="18"/>
              </w:rPr>
              <w:t>‎-1.73%‎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الإدراج (من تاريخ الإدراج إلى نهاية الربع الأول 2022م)</w:t>
            </w:r>
          </w:p>
        </w:tc>
        <w:tc>
          <w:tcPr>
            <w:tcW w:type="dxa" w:w="6860"/>
          </w:tcPr>
          <w:p>
            <w:pPr>
              <w:bidi w:val="1"/>
              <w:spacing w:before="0" w:after="0" w:line="276" w:lineRule="auto"/>
            </w:pPr>
            <w:r>
              <w:rPr>
                <w:rFonts w:ascii="Arial" w:hAnsi="Arial" w:cs="Arial" w:eastAsia="Arial"/>
                <w:b/>
                <w:bCs/>
                <w:color w:val="0E1E3A"/>
                <w:sz w:val="18"/>
                <w:szCs w:val="18"/>
              </w:rPr>
              <w:t>‎-14.80%‎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أعلى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9.44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أدنى سعر في 52 أسبوعًا</w:t>
            </w:r>
          </w:p>
        </w:tc>
        <w:tc>
          <w:tcPr>
            <w:tcW w:type="dxa" w:w="6860"/>
          </w:tcPr>
          <w:p>
            <w:pPr>
              <w:bidi w:val="1"/>
              <w:spacing w:before="0" w:after="0" w:line="276" w:lineRule="auto"/>
            </w:pPr>
            <w:r>
              <w:rPr>
                <w:rFonts w:ascii="Arial" w:hAnsi="Arial" w:cs="Arial" w:eastAsia="Arial"/>
                <w:b/>
                <w:bCs/>
                <w:color w:val="0E1E3A"/>
                <w:sz w:val="18"/>
                <w:szCs w:val="18"/>
                <w:rtl/>
              </w:rPr>
              <w:t>8.52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عدد الوحدات القائمة</w:t>
            </w:r>
          </w:p>
        </w:tc>
        <w:tc>
          <w:tcPr>
            <w:tcW w:type="dxa" w:w="6860"/>
          </w:tcPr>
          <w:p>
            <w:pPr>
              <w:bidi w:val="1"/>
              <w:spacing w:before="0" w:after="0" w:line="276" w:lineRule="auto"/>
            </w:pPr>
            <w:r>
              <w:rPr>
                <w:rFonts w:ascii="Arial" w:hAnsi="Arial" w:cs="Arial" w:eastAsia="Arial"/>
                <w:b/>
                <w:bCs/>
                <w:color w:val="0E1E3A"/>
                <w:sz w:val="18"/>
                <w:szCs w:val="18"/>
                <w:rtl/>
              </w:rPr>
              <w:t>47,281,470 وحدة</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سعر الوحدة بتاريخ 31 ديسمبر 2021م = 8.67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4" name="Picture 9035"/>
            <wp:cNvGraphicFramePr>
              <a:graphicFrameLocks noChangeAspect="1"/>
            </wp:cNvGraphicFramePr>
            <a:graphic>
              <a:graphicData uri="http://schemas.openxmlformats.org/drawingml/2006/picture">
                <pic:pic>
                  <pic:nvPicPr>
                    <pic:cNvPr id="0" name="ico_737e94dc9d8d67dbf235ae564951a5f7.png"/>
                    <pic:cNvPicPr/>
                  </pic:nvPicPr>
                  <pic:blipFill>
                    <a:blip r:embed="rId19"/>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توزيع الأرباح</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سياسة توزيع الأرباح</w:t>
            </w:r>
          </w:p>
        </w:tc>
        <w:tc>
          <w:tcPr>
            <w:tcW w:type="dxa" w:w="6860"/>
          </w:tcPr>
          <w:p>
            <w:pPr>
              <w:bidi w:val="1"/>
              <w:spacing w:before="0" w:after="0" w:line="276" w:lineRule="auto"/>
            </w:pPr>
            <w:r>
              <w:rPr>
                <w:rFonts w:ascii="Arial" w:hAnsi="Arial" w:cs="Arial" w:eastAsia="Arial"/>
                <w:b/>
                <w:bCs/>
                <w:color w:val="0E1E3A"/>
                <w:sz w:val="18"/>
                <w:szCs w:val="18"/>
                <w:rtl/>
              </w:rPr>
              <w:t xml:space="preserve">سيقوم مدير الصندوق بتوزيع </w:t>
            </w:r>
            <w:r>
              <w:rPr>
                <w:rFonts w:ascii="Arial" w:hAnsi="Arial" w:cs="Arial" w:eastAsia="Arial"/>
                <w:b/>
                <w:bCs/>
                <w:color w:val="0E1E3A"/>
                <w:sz w:val="18"/>
                <w:szCs w:val="18"/>
              </w:rPr>
              <w:t>‎100%‎</w:t>
            </w:r>
            <w:r>
              <w:rPr>
                <w:rFonts w:ascii="Arial" w:hAnsi="Arial" w:cs="Arial" w:eastAsia="Arial"/>
                <w:b/>
                <w:bCs/>
                <w:color w:val="0E1E3A"/>
                <w:sz w:val="18"/>
                <w:szCs w:val="18"/>
                <w:rtl/>
              </w:rPr>
              <w:t xml:space="preserve"> من الأرباح نصف السنوية المستلمة من عوائد استثمارات الصندوق بعد خصم المصروفات من مالكي الوحدات مرتين في السنة، على أن تكون التوزيعات خلال شهري أغسطس وفبراير سنويًا.</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الربع المعني*</w:t>
            </w:r>
          </w:p>
        </w:tc>
        <w:tc>
          <w:tcPr>
            <w:tcW w:type="dxa" w:w="6860"/>
          </w:tcPr>
          <w:p>
            <w:pPr>
              <w:bidi w:val="1"/>
              <w:spacing w:before="0" w:after="0" w:line="276" w:lineRule="auto"/>
            </w:pPr>
            <w:r>
              <w:rPr>
                <w:rFonts w:ascii="Arial" w:hAnsi="Arial" w:cs="Arial" w:eastAsia="Arial"/>
                <w:b/>
                <w:bCs/>
                <w:color w:val="0E1E3A"/>
                <w:sz w:val="18"/>
                <w:szCs w:val="18"/>
                <w:rtl/>
              </w:rPr>
              <w:t>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الأرباح الموزعة عن آخر فتره نصف سنوية**</w:t>
            </w:r>
          </w:p>
        </w:tc>
        <w:tc>
          <w:tcPr>
            <w:tcW w:type="dxa" w:w="6860"/>
          </w:tcPr>
          <w:p>
            <w:pPr>
              <w:bidi w:val="1"/>
              <w:spacing w:before="0" w:after="0" w:line="276" w:lineRule="auto"/>
            </w:pPr>
            <w:r>
              <w:rPr>
                <w:rFonts w:ascii="Arial" w:hAnsi="Arial" w:cs="Arial" w:eastAsia="Arial"/>
                <w:b/>
                <w:bCs/>
                <w:color w:val="0E1E3A"/>
                <w:sz w:val="18"/>
                <w:szCs w:val="18"/>
                <w:rtl/>
              </w:rPr>
              <w:t>11,820,368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الربح الموزع عن آخر فترة نصف سنوية عن كل وحدة</w:t>
            </w:r>
          </w:p>
        </w:tc>
        <w:tc>
          <w:tcPr>
            <w:tcW w:type="dxa" w:w="6860"/>
          </w:tcPr>
          <w:p>
            <w:pPr>
              <w:bidi w:val="1"/>
              <w:spacing w:before="0" w:after="0" w:line="276" w:lineRule="auto"/>
            </w:pPr>
            <w:r>
              <w:rPr>
                <w:rFonts w:ascii="Arial" w:hAnsi="Arial" w:cs="Arial" w:eastAsia="Arial"/>
                <w:b/>
                <w:bCs/>
                <w:color w:val="0E1E3A"/>
                <w:sz w:val="18"/>
                <w:szCs w:val="18"/>
                <w:rtl/>
              </w:rPr>
              <w:t>0.25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من سعر الوحدة الأولي</w:t>
            </w:r>
          </w:p>
        </w:tc>
        <w:tc>
          <w:tcPr>
            <w:tcW w:type="dxa" w:w="6860"/>
          </w:tcPr>
          <w:p>
            <w:pPr>
              <w:bidi w:val="1"/>
              <w:spacing w:before="0" w:after="0" w:line="276" w:lineRule="auto"/>
            </w:pPr>
            <w:r>
              <w:rPr>
                <w:rFonts w:ascii="Arial" w:hAnsi="Arial" w:cs="Arial" w:eastAsia="Arial"/>
                <w:b/>
                <w:bCs/>
                <w:color w:val="0E1E3A"/>
                <w:sz w:val="18"/>
                <w:szCs w:val="18"/>
              </w:rPr>
              <w:t>‎2.50%‎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نسبة الربح الموزع على سعر الوحدة ***</w:t>
            </w:r>
          </w:p>
        </w:tc>
        <w:tc>
          <w:tcPr>
            <w:tcW w:type="dxa" w:w="6860"/>
          </w:tcPr>
          <w:p>
            <w:pPr>
              <w:bidi w:val="1"/>
              <w:spacing w:before="0" w:after="0" w:line="276" w:lineRule="auto"/>
            </w:pPr>
            <w:r>
              <w:rPr>
                <w:rFonts w:ascii="Arial" w:hAnsi="Arial" w:cs="Arial" w:eastAsia="Arial"/>
                <w:b/>
                <w:bCs/>
                <w:color w:val="0E1E3A"/>
                <w:sz w:val="18"/>
                <w:szCs w:val="18"/>
              </w:rPr>
              <w:t>‎2.93%‎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إجمالي الدخل للربع المعني*</w:t>
            </w:r>
          </w:p>
        </w:tc>
        <w:tc>
          <w:tcPr>
            <w:tcW w:type="dxa" w:w="6860"/>
          </w:tcPr>
          <w:p>
            <w:pPr>
              <w:bidi w:val="1"/>
              <w:spacing w:before="0" w:after="0" w:line="276" w:lineRule="auto"/>
            </w:pPr>
            <w:r>
              <w:rPr>
                <w:rFonts w:ascii="Arial" w:hAnsi="Arial" w:cs="Arial" w:eastAsia="Arial"/>
                <w:b/>
                <w:bCs/>
                <w:color w:val="0E1E3A"/>
                <w:sz w:val="18"/>
                <w:szCs w:val="18"/>
                <w:rtl/>
              </w:rPr>
              <w:t>2,323,405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الدخل للربع المعني على سعر الوحدة (31 مارس 2022م)</w:t>
            </w:r>
          </w:p>
        </w:tc>
        <w:tc>
          <w:tcPr>
            <w:tcW w:type="dxa" w:w="6860"/>
          </w:tcPr>
          <w:p>
            <w:pPr>
              <w:bidi w:val="1"/>
              <w:spacing w:before="0" w:after="0" w:line="276" w:lineRule="auto"/>
            </w:pPr>
            <w:r>
              <w:rPr>
                <w:rFonts w:ascii="Arial" w:hAnsi="Arial" w:cs="Arial" w:eastAsia="Arial"/>
                <w:b/>
                <w:bCs/>
                <w:color w:val="0E1E3A"/>
                <w:sz w:val="18"/>
                <w:szCs w:val="18"/>
              </w:rPr>
              <w:t>‎0.58%‎</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1 يناير 2022م إلى 31 مارس 2022م</w:t>
      </w:r>
      <w:r>
        <w:br/>
      </w:r>
      <w:r>
        <w:rPr>
          <w:rFonts w:ascii="Arial" w:hAnsi="Arial" w:cs="Arial" w:eastAsia="Arial"/>
          <w:color w:val="5A6478"/>
          <w:sz w:val="17"/>
          <w:szCs w:val="17"/>
          <w:rtl/>
        </w:rPr>
        <w:t>** من 1 يوليو 2021م إلى 31 ديسمبر 2021م</w:t>
      </w:r>
      <w:r>
        <w:br/>
      </w:r>
      <w:r>
        <w:rPr>
          <w:rFonts w:ascii="Arial" w:hAnsi="Arial" w:cs="Arial" w:eastAsia="Arial"/>
          <w:color w:val="5A6478"/>
          <w:sz w:val="17"/>
          <w:szCs w:val="17"/>
          <w:rtl/>
        </w:rPr>
        <w:t>*** سعر الوحدة بتاريخ 31 ديسمبر 2021م = 8.67 ر.س.</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5" name="Picture 903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أداء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c>
          <w:tcPr>
            <w:tcW w:type="dxa" w:w="3118"/>
            <w:shd w:val="clear" w:color="auto" w:fill="F3F6FB"/>
          </w:tcPr>
          <w:p>
            <w:pPr>
              <w:bidi w:val="1"/>
              <w:spacing w:before="0" w:after="0" w:line="276" w:lineRule="auto"/>
            </w:pPr>
            <w:r>
              <w:rPr>
                <w:rFonts w:ascii="Arial" w:hAnsi="Arial" w:cs="Arial" w:eastAsia="Arial"/>
                <w:color w:val="5A6478"/>
                <w:sz w:val="18"/>
                <w:szCs w:val="18"/>
                <w:rtl/>
              </w:rPr>
              <w:t>المؤشر الاسترشادي</w:t>
            </w:r>
          </w:p>
        </w:tc>
        <w:tc>
          <w:tcPr>
            <w:tcW w:type="dxa" w:w="6860"/>
          </w:tcPr>
          <w:p>
            <w:pPr>
              <w:bidi w:val="1"/>
              <w:spacing w:before="0" w:after="0" w:line="276" w:lineRule="auto"/>
            </w:pPr>
            <w:r>
              <w:rPr>
                <w:rFonts w:ascii="Arial" w:hAnsi="Arial" w:cs="Arial" w:eastAsia="Arial"/>
                <w:b/>
                <w:bCs/>
                <w:color w:val="0E1E3A"/>
                <w:sz w:val="18"/>
                <w:szCs w:val="18"/>
                <w:rtl/>
              </w:rPr>
              <w:t>معدل (الليبور- LIBOR) لمدة 12 شهر زائد 300 نقطة أساس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سعر الوحدة الأولي (عند بداية الطرح)</w:t>
            </w:r>
          </w:p>
        </w:tc>
        <w:tc>
          <w:tcPr>
            <w:tcW w:type="dxa" w:w="6860"/>
          </w:tcPr>
          <w:p>
            <w:pPr>
              <w:bidi w:val="1"/>
              <w:spacing w:before="0" w:after="0" w:line="276" w:lineRule="auto"/>
            </w:pPr>
            <w:r>
              <w:rPr>
                <w:rFonts w:ascii="Arial" w:hAnsi="Arial" w:cs="Arial" w:eastAsia="Arial"/>
                <w:b/>
                <w:bCs/>
                <w:color w:val="0E1E3A"/>
                <w:sz w:val="18"/>
                <w:szCs w:val="18"/>
                <w:rtl/>
              </w:rPr>
              <w:t>10 ر.س.</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الفترة السابقة *</w:t>
            </w:r>
          </w:p>
        </w:tc>
        <w:tc>
          <w:tcPr>
            <w:tcW w:type="dxa" w:w="6860"/>
          </w:tcPr>
          <w:p>
            <w:pPr>
              <w:bidi w:val="1"/>
              <w:spacing w:before="0" w:after="0" w:line="276" w:lineRule="auto"/>
            </w:pPr>
            <w:r>
              <w:rPr>
                <w:rFonts w:ascii="Arial" w:hAnsi="Arial" w:cs="Arial" w:eastAsia="Arial"/>
                <w:b/>
                <w:bCs/>
                <w:color w:val="0E1E3A"/>
                <w:sz w:val="18"/>
                <w:szCs w:val="18"/>
              </w:rPr>
              <w:t>‎-1.73%‎</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أداء سعر الوحدة منذ تاريخ البدء **</w:t>
            </w:r>
          </w:p>
        </w:tc>
        <w:tc>
          <w:tcPr>
            <w:tcW w:type="dxa" w:w="6860"/>
          </w:tcPr>
          <w:p>
            <w:pPr>
              <w:bidi w:val="1"/>
              <w:spacing w:before="0" w:after="0" w:line="276" w:lineRule="auto"/>
            </w:pPr>
            <w:r>
              <w:rPr>
                <w:rFonts w:ascii="Arial" w:hAnsi="Arial" w:cs="Arial" w:eastAsia="Arial"/>
                <w:b/>
                <w:bCs/>
                <w:color w:val="0E1E3A"/>
                <w:sz w:val="18"/>
                <w:szCs w:val="18"/>
              </w:rPr>
              <w:t>‎-14.80%‎</w:t>
            </w:r>
          </w:p>
        </w:tc>
      </w:tr>
      <w:tr>
        <w:tc>
          <w:tcPr>
            <w:tcW w:type="dxa" w:w="3118"/>
            <w:shd w:val="clear" w:color="auto" w:fill="F3F6FB"/>
          </w:tcPr>
          <w:p>
            <w:pPr>
              <w:bidi w:val="1"/>
              <w:spacing w:before="0" w:after="0" w:line="276" w:lineRule="auto"/>
            </w:pPr>
            <w:r>
              <w:rPr>
                <w:rFonts w:ascii="Arial" w:hAnsi="Arial" w:cs="Arial" w:eastAsia="Arial"/>
                <w:color w:val="5A6478"/>
                <w:sz w:val="18"/>
                <w:szCs w:val="18"/>
                <w:rtl/>
              </w:rPr>
              <w:t>العائد الكلي منذ تاريخ البدء ***</w:t>
            </w:r>
          </w:p>
        </w:tc>
        <w:tc>
          <w:tcPr>
            <w:tcW w:type="dxa" w:w="6860"/>
          </w:tcPr>
          <w:p>
            <w:pPr>
              <w:bidi w:val="1"/>
              <w:spacing w:before="0" w:after="0" w:line="276" w:lineRule="auto"/>
            </w:pPr>
            <w:r>
              <w:rPr>
                <w:rFonts w:ascii="Arial" w:hAnsi="Arial" w:cs="Arial" w:eastAsia="Arial"/>
                <w:b/>
                <w:bCs/>
                <w:color w:val="0E1E3A"/>
                <w:sz w:val="18"/>
                <w:szCs w:val="18"/>
              </w:rPr>
              <w:t>‎-10.50%‎</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من نهاية الربع الرابع من العام 2021م إلى نهاية الربع الأول من العام 2022م.</w:t>
      </w:r>
      <w:r>
        <w:br/>
      </w:r>
      <w:r>
        <w:rPr>
          <w:rFonts w:ascii="Arial" w:hAnsi="Arial" w:cs="Arial" w:eastAsia="Arial"/>
          <w:color w:val="5A6478"/>
          <w:sz w:val="17"/>
          <w:szCs w:val="17"/>
          <w:rtl/>
        </w:rPr>
        <w:t>** من تاريخ بدء الصندوق إلى نهاية الربع الأول من العام 2022م.</w:t>
      </w:r>
      <w:r>
        <w:br/>
      </w:r>
      <w:r>
        <w:rPr>
          <w:rFonts w:ascii="Arial" w:hAnsi="Arial" w:cs="Arial" w:eastAsia="Arial"/>
          <w:color w:val="5A6478"/>
          <w:sz w:val="17"/>
          <w:szCs w:val="17"/>
          <w:rtl/>
        </w:rPr>
        <w:t>*** العائد الكلي = أداء سعر الوحدة + إجمالي الأرباح الموزعة (إن وجدت).</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6" name="Picture 9037"/>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وصف المؤشر الاسترشادي للصندوق</w:t>
      </w:r>
    </w:p>
    <w:p>
      <w:pPr>
        <w:bidi w:val="1"/>
        <w:spacing w:before="0" w:after="80" w:line="312" w:lineRule="auto"/>
      </w:pPr>
      <w:r>
        <w:rPr>
          <w:rFonts w:ascii="Arial" w:hAnsi="Arial" w:cs="Arial" w:eastAsia="Arial"/>
          <w:color w:val="0E1E3A"/>
          <w:sz w:val="20"/>
          <w:szCs w:val="20"/>
          <w:rtl/>
        </w:rPr>
        <w:t xml:space="preserve">المؤشر الاسترشادي للصندوق هو مؤشر "الخبير للأصول المدرة للدخل" (Alkhabeer Income Generating Asset Index)، وهو مؤشر مركب يتكون من مؤشر أيديل ريتينجز لصناديق الريت السعودية والذي يساهم بوزن </w:t>
      </w:r>
      <w:r>
        <w:rPr>
          <w:rFonts w:ascii="Arial" w:hAnsi="Arial" w:cs="Arial" w:eastAsia="Arial"/>
          <w:color w:val="0E1E3A"/>
          <w:sz w:val="20"/>
          <w:szCs w:val="20"/>
        </w:rPr>
        <w:t>‎75%‎</w:t>
      </w:r>
      <w:r>
        <w:rPr>
          <w:rFonts w:ascii="Arial" w:hAnsi="Arial" w:cs="Arial" w:eastAsia="Arial"/>
          <w:color w:val="0E1E3A"/>
          <w:sz w:val="20"/>
          <w:szCs w:val="20"/>
          <w:rtl/>
        </w:rPr>
        <w:t xml:space="preserve">، ومن مؤشر أيديل ريتينجز للصكوك العالمية والذي يساهم بوزن </w:t>
      </w:r>
      <w:r>
        <w:rPr>
          <w:rFonts w:ascii="Arial" w:hAnsi="Arial" w:cs="Arial" w:eastAsia="Arial"/>
          <w:color w:val="0E1E3A"/>
          <w:sz w:val="20"/>
          <w:szCs w:val="20"/>
        </w:rPr>
        <w:t>‎25%‎</w:t>
      </w:r>
      <w:r>
        <w:rPr>
          <w:rFonts w:ascii="Arial" w:hAnsi="Arial" w:cs="Arial" w:eastAsia="Arial"/>
          <w:color w:val="0E1E3A"/>
          <w:sz w:val="20"/>
          <w:szCs w:val="20"/>
          <w:rtl/>
        </w:rPr>
        <w:t>. ويتم استخدام المؤشر لأغراض مقارنة أداء الصندوق بأداء المؤشر. ويتم تزويد خدمة بيانات المؤشر الاسترشادي من "أيديل ريتينجز" (Ideal Ratings).</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7" name="Picture 9038"/>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معايير ومؤشرات قياس الأداء *</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3326"/>
        <w:gridCol w:w="3326"/>
        <w:gridCol w:w="3326"/>
      </w:tblGrid>
      <w:tr>
        <w:trPr>
          <w:tblHeader/>
        </w:trPr>
        <w:tc>
          <w:tcPr>
            <w:tcW w:type="dxa" w:w="3326"/>
            <w:shd w:val="clear" w:color="auto" w:fill="12284B"/>
          </w:tcPr>
          <w:p>
            <w:pPr>
              <w:bidi w:val="1"/>
              <w:spacing w:before="0" w:after="0" w:line="264" w:lineRule="auto"/>
            </w:pP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صندوق الخبير للدخل</w:t>
            </w:r>
          </w:p>
        </w:tc>
        <w:tc>
          <w:tcPr>
            <w:tcW w:type="dxa" w:w="3326"/>
            <w:shd w:val="clear" w:color="auto" w:fill="12284B"/>
          </w:tcPr>
          <w:p>
            <w:pPr>
              <w:bidi w:val="1"/>
              <w:spacing w:before="0" w:after="0" w:line="264" w:lineRule="auto"/>
            </w:pPr>
            <w:r>
              <w:rPr>
                <w:rFonts w:ascii="Arial" w:hAnsi="Arial" w:cs="Arial" w:eastAsia="Arial"/>
                <w:b/>
                <w:bCs/>
                <w:color w:val="FFFFFF"/>
                <w:sz w:val="17"/>
                <w:szCs w:val="17"/>
                <w:rtl/>
              </w:rPr>
              <w:t>معدل (الليبور- LIBOR) لمدة 12 شهر زائد 300 نقطة أساس</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بداية الفترة *</w:t>
            </w:r>
          </w:p>
        </w:tc>
        <w:tc>
          <w:tcPr>
            <w:tcW w:type="dxa" w:w="3326"/>
          </w:tcPr>
          <w:p>
            <w:pPr>
              <w:bidi w:val="1"/>
              <w:spacing w:before="0" w:after="0" w:line="264" w:lineRule="auto"/>
            </w:pPr>
            <w:r>
              <w:rPr>
                <w:rFonts w:ascii="Arial" w:hAnsi="Arial" w:cs="Arial" w:eastAsia="Arial"/>
                <w:color w:val="0E1E3A"/>
                <w:sz w:val="17"/>
                <w:szCs w:val="17"/>
                <w:rtl/>
              </w:rPr>
              <w:t>10.2465</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صافي قيمة الوحدة في نهاية الفترة **</w:t>
            </w:r>
          </w:p>
        </w:tc>
        <w:tc>
          <w:tcPr>
            <w:tcW w:type="dxa" w:w="3326"/>
          </w:tcPr>
          <w:p>
            <w:pPr>
              <w:bidi w:val="1"/>
              <w:spacing w:before="0" w:after="0" w:line="264" w:lineRule="auto"/>
            </w:pPr>
            <w:r>
              <w:rPr>
                <w:rFonts w:ascii="Arial" w:hAnsi="Arial" w:cs="Arial" w:eastAsia="Arial"/>
                <w:color w:val="0E1E3A"/>
                <w:sz w:val="17"/>
                <w:szCs w:val="17"/>
                <w:rtl/>
              </w:rPr>
              <w:t>9.9877</w:t>
            </w:r>
          </w:p>
        </w:tc>
        <w:tc>
          <w:tcPr>
            <w:tcW w:type="dxa" w:w="3326"/>
          </w:tcPr>
          <w:p>
            <w:pPr>
              <w:bidi w:val="1"/>
              <w:spacing w:before="0" w:after="0" w:line="264" w:lineRule="auto"/>
            </w:pPr>
            <w:r>
              <w:rPr>
                <w:rFonts w:ascii="Arial" w:hAnsi="Arial" w:cs="Arial" w:eastAsia="Arial"/>
                <w:color w:val="0E1E3A"/>
                <w:sz w:val="17"/>
                <w:szCs w:val="17"/>
                <w:rtl/>
              </w:rPr>
              <w:t>لا ينطبق</w:t>
            </w:r>
          </w:p>
        </w:tc>
      </w:tr>
      <w:tr>
        <w:tc>
          <w:tcPr>
            <w:tcW w:type="dxa" w:w="3326"/>
          </w:tcPr>
          <w:p>
            <w:pPr>
              <w:bidi w:val="1"/>
              <w:spacing w:before="0" w:after="0" w:line="264" w:lineRule="auto"/>
            </w:pPr>
            <w:r>
              <w:rPr>
                <w:rFonts w:ascii="Arial" w:hAnsi="Arial" w:cs="Arial" w:eastAsia="Arial"/>
                <w:color w:val="0E1E3A"/>
                <w:sz w:val="17"/>
                <w:szCs w:val="17"/>
                <w:rtl/>
              </w:rPr>
              <w:t>أداء الوحدة</w:t>
            </w:r>
          </w:p>
        </w:tc>
        <w:tc>
          <w:tcPr>
            <w:tcW w:type="dxa" w:w="3326"/>
          </w:tcPr>
          <w:p>
            <w:pPr>
              <w:bidi w:val="1"/>
              <w:spacing w:before="0" w:after="0" w:line="264" w:lineRule="auto"/>
            </w:pPr>
            <w:r>
              <w:rPr>
                <w:rFonts w:ascii="Arial" w:hAnsi="Arial" w:cs="Arial" w:eastAsia="Arial"/>
                <w:color w:val="0E1E3A"/>
                <w:sz w:val="17"/>
                <w:szCs w:val="17"/>
              </w:rPr>
              <w:t>‎-2.53%‎</w:t>
            </w:r>
          </w:p>
        </w:tc>
        <w:tc>
          <w:tcPr>
            <w:tcW w:type="dxa" w:w="3326"/>
          </w:tcPr>
          <w:p>
            <w:pPr>
              <w:bidi w:val="1"/>
              <w:spacing w:before="0" w:after="0" w:line="264" w:lineRule="auto"/>
            </w:pPr>
            <w:r>
              <w:rPr>
                <w:rFonts w:ascii="Arial" w:hAnsi="Arial" w:cs="Arial" w:eastAsia="Arial"/>
                <w:color w:val="0E1E3A"/>
                <w:sz w:val="17"/>
                <w:szCs w:val="17"/>
              </w:rPr>
              <w:t>‎1.05%‎</w:t>
            </w:r>
            <w:r>
              <w:rPr>
                <w:rFonts w:ascii="Arial" w:hAnsi="Arial" w:cs="Arial" w:eastAsia="Arial"/>
                <w:color w:val="0E1E3A"/>
                <w:sz w:val="17"/>
                <w:szCs w:val="17"/>
                <w:rtl/>
              </w:rPr>
              <w:t xml:space="preserve"> ***</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كما في تاريخ 31 ديسمبر 2021م.</w:t>
      </w:r>
      <w:r>
        <w:br/>
      </w:r>
      <w:r>
        <w:rPr>
          <w:rFonts w:ascii="Arial" w:hAnsi="Arial" w:cs="Arial" w:eastAsia="Arial"/>
          <w:color w:val="5A6478"/>
          <w:sz w:val="17"/>
          <w:szCs w:val="17"/>
          <w:rtl/>
        </w:rPr>
        <w:t>** كما في تاريخ 31 مارس 2022م.</w:t>
      </w:r>
      <w:r>
        <w:br/>
      </w:r>
      <w:r>
        <w:rPr>
          <w:rFonts w:ascii="Arial" w:hAnsi="Arial" w:cs="Arial" w:eastAsia="Arial"/>
          <w:color w:val="5A6478"/>
          <w:sz w:val="17"/>
          <w:szCs w:val="17"/>
          <w:rtl/>
        </w:rPr>
        <w:t xml:space="preserve">*** متوسط أداء المؤشر الاسترشادي يعادل </w:t>
      </w:r>
      <w:r>
        <w:rPr>
          <w:rFonts w:ascii="Arial" w:hAnsi="Arial" w:cs="Arial" w:eastAsia="Arial"/>
          <w:color w:val="5A6478"/>
          <w:sz w:val="17"/>
          <w:szCs w:val="17"/>
        </w:rPr>
        <w:t>‎4.25%‎</w:t>
      </w:r>
      <w:r>
        <w:rPr>
          <w:rFonts w:ascii="Arial" w:hAnsi="Arial" w:cs="Arial" w:eastAsia="Arial"/>
          <w:color w:val="5A6478"/>
          <w:sz w:val="17"/>
          <w:szCs w:val="17"/>
          <w:rtl/>
        </w:rPr>
        <w:t xml:space="preserve"> سنويًا أي ما يعادل عائد </w:t>
      </w:r>
      <w:r>
        <w:rPr>
          <w:rFonts w:ascii="Arial" w:hAnsi="Arial" w:cs="Arial" w:eastAsia="Arial"/>
          <w:color w:val="5A6478"/>
          <w:sz w:val="17"/>
          <w:szCs w:val="17"/>
        </w:rPr>
        <w:t>‎1.05%‎</w:t>
      </w:r>
      <w:r>
        <w:rPr>
          <w:rFonts w:ascii="Arial" w:hAnsi="Arial" w:cs="Arial" w:eastAsia="Arial"/>
          <w:color w:val="5A6478"/>
          <w:sz w:val="17"/>
          <w:szCs w:val="17"/>
          <w:rtl/>
        </w:rPr>
        <w:t xml:space="preserve"> للربع المعني.</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8" name="Picture 9039"/>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ملكية استثمارات الصندوق</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4989"/>
        <w:gridCol w:w="4989"/>
      </w:tblGrid>
      <w:tr>
        <w:trPr>
          <w:tblHeader/>
        </w:trPr>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الملكية</w:t>
            </w:r>
          </w:p>
        </w:tc>
        <w:tc>
          <w:tcPr>
            <w:tcW w:type="dxa" w:w="4989"/>
            <w:shd w:val="clear" w:color="auto" w:fill="12284B"/>
          </w:tcPr>
          <w:p>
            <w:pPr>
              <w:bidi w:val="1"/>
              <w:spacing w:before="0" w:after="0" w:line="264" w:lineRule="auto"/>
            </w:pPr>
            <w:r>
              <w:rPr>
                <w:rFonts w:ascii="Arial" w:hAnsi="Arial" w:cs="Arial" w:eastAsia="Arial"/>
                <w:b/>
                <w:bCs/>
                <w:color w:val="FFFFFF"/>
                <w:sz w:val="17"/>
                <w:szCs w:val="17"/>
                <w:rtl/>
              </w:rPr>
              <w:t>النسبة (%)</w:t>
            </w:r>
          </w:p>
        </w:tc>
      </w:tr>
      <w:tr>
        <w:tc>
          <w:tcPr>
            <w:tcW w:type="dxa" w:w="4989"/>
          </w:tcPr>
          <w:p>
            <w:pPr>
              <w:bidi w:val="1"/>
              <w:spacing w:before="0" w:after="0" w:line="264" w:lineRule="auto"/>
            </w:pPr>
            <w:r>
              <w:rPr>
                <w:rFonts w:ascii="Arial" w:hAnsi="Arial" w:cs="Arial" w:eastAsia="Arial"/>
                <w:color w:val="0E1E3A"/>
                <w:sz w:val="17"/>
                <w:szCs w:val="17"/>
                <w:rtl/>
              </w:rPr>
              <w:t>ملكية تامة</w:t>
            </w:r>
          </w:p>
        </w:tc>
        <w:tc>
          <w:tcPr>
            <w:tcW w:type="dxa" w:w="4989"/>
          </w:tcPr>
          <w:p>
            <w:pPr>
              <w:bidi w:val="1"/>
              <w:spacing w:before="0" w:after="0" w:line="264" w:lineRule="auto"/>
            </w:pPr>
            <w:r>
              <w:rPr>
                <w:rFonts w:ascii="Arial" w:hAnsi="Arial" w:cs="Arial" w:eastAsia="Arial"/>
                <w:color w:val="0E1E3A"/>
                <w:sz w:val="17"/>
                <w:szCs w:val="17"/>
              </w:rPr>
              <w:t>‎100%‎</w:t>
            </w:r>
          </w:p>
        </w:tc>
      </w:tr>
      <w:tr>
        <w:tc>
          <w:tcPr>
            <w:tcW w:type="dxa" w:w="4989"/>
          </w:tcPr>
          <w:p>
            <w:pPr>
              <w:bidi w:val="1"/>
              <w:spacing w:before="0" w:after="0" w:line="264" w:lineRule="auto"/>
            </w:pPr>
            <w:r>
              <w:rPr>
                <w:rFonts w:ascii="Arial" w:hAnsi="Arial" w:cs="Arial" w:eastAsia="Arial"/>
                <w:color w:val="0E1E3A"/>
                <w:sz w:val="17"/>
                <w:szCs w:val="17"/>
                <w:rtl/>
              </w:rPr>
              <w:t>حق منفعة</w:t>
            </w:r>
          </w:p>
        </w:tc>
        <w:tc>
          <w:tcPr>
            <w:tcW w:type="dxa" w:w="4989"/>
          </w:tcPr>
          <w:p>
            <w:pPr>
              <w:bidi w:val="1"/>
              <w:spacing w:before="0" w:after="0" w:line="264" w:lineRule="auto"/>
            </w:pPr>
            <w:r>
              <w:rPr>
                <w:rFonts w:ascii="Arial" w:hAnsi="Arial" w:cs="Arial" w:eastAsia="Arial"/>
                <w:color w:val="0E1E3A"/>
                <w:sz w:val="17"/>
                <w:szCs w:val="17"/>
              </w:rPr>
              <w:t>‎0%‎</w:t>
            </w:r>
          </w:p>
        </w:tc>
      </w:tr>
    </w:tbl>
    <w:p>
      <w:pPr>
        <w:bidi w:val="1"/>
        <w:spacing w:before="0" w:after="40" w:line="300" w:lineRule="auto"/>
      </w:pP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19" name="Picture 9040"/>
            <wp:cNvGraphicFramePr>
              <a:graphicFrameLocks noChangeAspect="1"/>
            </wp:cNvGraphicFramePr>
            <a:graphic>
              <a:graphicData uri="http://schemas.openxmlformats.org/drawingml/2006/picture">
                <pic:pic>
                  <pic:nvPicPr>
                    <pic:cNvPr id="0" name="ico_a4c5ee8beea27f59442669cc4fdf4aa4.png"/>
                    <pic:cNvPicPr/>
                  </pic:nvPicPr>
                  <pic:blipFill>
                    <a:blip r:embed="rId20"/>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العوائد</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البند</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 31 مارس 2022م</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العائد الكلي لصافي قيمة الوحدة</w:t>
            </w:r>
          </w:p>
        </w:tc>
        <w:tc>
          <w:tcPr>
            <w:tcW w:type="dxa" w:w="2494"/>
          </w:tcPr>
          <w:p>
            <w:pPr>
              <w:bidi w:val="1"/>
              <w:spacing w:before="0" w:after="0" w:line="264" w:lineRule="auto"/>
            </w:pPr>
            <w:r>
              <w:rPr>
                <w:rFonts w:ascii="Arial" w:hAnsi="Arial" w:cs="Arial" w:eastAsia="Arial"/>
                <w:color w:val="0E1E3A"/>
                <w:sz w:val="17"/>
                <w:szCs w:val="17"/>
              </w:rPr>
              <w:t>‎-0.09%‎</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‎-0.09%‎</w:t>
            </w:r>
            <w:r>
              <w:rPr>
                <w:rFonts w:ascii="Arial" w:hAnsi="Arial" w:cs="Arial" w:eastAsia="Arial"/>
                <w:color w:val="0E1E3A"/>
                <w:sz w:val="17"/>
                <w:szCs w:val="17"/>
                <w:rtl/>
              </w:rPr>
              <w:t>**</w:t>
            </w:r>
          </w:p>
        </w:tc>
        <w:tc>
          <w:tcPr>
            <w:tcW w:type="dxa" w:w="2494"/>
          </w:tcPr>
          <w:p>
            <w:pPr>
              <w:bidi w:val="1"/>
              <w:spacing w:before="0" w:after="0" w:line="264" w:lineRule="auto"/>
            </w:pPr>
            <w:r>
              <w:rPr>
                <w:rFonts w:ascii="Arial" w:hAnsi="Arial" w:cs="Arial" w:eastAsia="Arial"/>
                <w:color w:val="0E1E3A"/>
                <w:sz w:val="17"/>
                <w:szCs w:val="17"/>
              </w:rPr>
              <w:t>‎4.67%‎</w:t>
            </w:r>
            <w:r>
              <w:rPr>
                <w:rFonts w:ascii="Arial" w:hAnsi="Arial" w:cs="Arial" w:eastAsia="Arial"/>
                <w:color w:val="0E1E3A"/>
                <w:sz w:val="17"/>
                <w:szCs w:val="17"/>
                <w:rtl/>
              </w:rPr>
              <w:t>***</w:t>
            </w:r>
          </w:p>
        </w:tc>
      </w:tr>
      <w:tr>
        <w:tc>
          <w:tcPr>
            <w:tcW w:type="dxa" w:w="2494"/>
          </w:tcPr>
          <w:p>
            <w:pPr>
              <w:bidi w:val="1"/>
              <w:spacing w:before="0" w:after="0" w:line="264" w:lineRule="auto"/>
            </w:pPr>
            <w:r>
              <w:rPr>
                <w:rFonts w:ascii="Arial" w:hAnsi="Arial" w:cs="Arial" w:eastAsia="Arial"/>
                <w:color w:val="0E1E3A"/>
                <w:sz w:val="17"/>
                <w:szCs w:val="17"/>
                <w:rtl/>
              </w:rPr>
              <w:t>أداء المؤشر الاسترشادي</w:t>
            </w:r>
          </w:p>
        </w:tc>
        <w:tc>
          <w:tcPr>
            <w:tcW w:type="dxa" w:w="2494"/>
          </w:tcPr>
          <w:p>
            <w:pPr>
              <w:bidi w:val="1"/>
              <w:spacing w:before="0" w:after="0" w:line="264" w:lineRule="auto"/>
            </w:pPr>
            <w:r>
              <w:rPr>
                <w:rFonts w:ascii="Arial" w:hAnsi="Arial" w:cs="Arial" w:eastAsia="Arial"/>
                <w:color w:val="0E1E3A"/>
                <w:sz w:val="17"/>
                <w:szCs w:val="17"/>
              </w:rPr>
              <w:t>‎1.05%‎</w:t>
            </w:r>
          </w:p>
        </w:tc>
        <w:tc>
          <w:tcPr>
            <w:tcW w:type="dxa" w:w="2494"/>
          </w:tcPr>
          <w:p>
            <w:pPr>
              <w:bidi w:val="1"/>
              <w:spacing w:before="0" w:after="0" w:line="264" w:lineRule="auto"/>
            </w:pPr>
            <w:r>
              <w:rPr>
                <w:rFonts w:ascii="Arial" w:hAnsi="Arial" w:cs="Arial" w:eastAsia="Arial"/>
                <w:color w:val="0E1E3A"/>
                <w:sz w:val="17"/>
                <w:szCs w:val="17"/>
              </w:rPr>
              <w:t>‎1.05%‎</w:t>
            </w:r>
          </w:p>
        </w:tc>
        <w:tc>
          <w:tcPr>
            <w:tcW w:type="dxa" w:w="2494"/>
          </w:tcPr>
          <w:p>
            <w:pPr>
              <w:bidi w:val="1"/>
              <w:spacing w:before="0" w:after="0" w:line="264" w:lineRule="auto"/>
            </w:pPr>
            <w:r>
              <w:rPr>
                <w:rFonts w:ascii="Arial" w:hAnsi="Arial" w:cs="Arial" w:eastAsia="Arial"/>
                <w:color w:val="0E1E3A"/>
                <w:sz w:val="17"/>
                <w:szCs w:val="17"/>
              </w:rPr>
              <w:t>‎3.53%‎</w:t>
            </w:r>
          </w:p>
        </w:tc>
      </w:tr>
      <w:tr>
        <w:tc>
          <w:tcPr>
            <w:tcW w:type="dxa" w:w="2494"/>
          </w:tcPr>
          <w:p>
            <w:pPr>
              <w:bidi w:val="1"/>
              <w:spacing w:before="0" w:after="0" w:line="264" w:lineRule="auto"/>
            </w:pPr>
            <w:r>
              <w:rPr>
                <w:rFonts w:ascii="Arial" w:hAnsi="Arial" w:cs="Arial" w:eastAsia="Arial"/>
                <w:color w:val="0E1E3A"/>
                <w:sz w:val="17"/>
                <w:szCs w:val="17"/>
                <w:rtl/>
              </w:rPr>
              <w:t>فارق الأداء</w:t>
            </w:r>
          </w:p>
        </w:tc>
        <w:tc>
          <w:tcPr>
            <w:tcW w:type="dxa" w:w="2494"/>
          </w:tcPr>
          <w:p>
            <w:pPr>
              <w:bidi w:val="1"/>
              <w:spacing w:before="0" w:after="0" w:line="264" w:lineRule="auto"/>
            </w:pPr>
            <w:r>
              <w:rPr>
                <w:rFonts w:ascii="Arial" w:hAnsi="Arial" w:cs="Arial" w:eastAsia="Arial"/>
                <w:color w:val="0E1E3A"/>
                <w:sz w:val="17"/>
                <w:szCs w:val="17"/>
              </w:rPr>
              <w:t>‎-1.14%‎</w:t>
            </w:r>
          </w:p>
        </w:tc>
        <w:tc>
          <w:tcPr>
            <w:tcW w:type="dxa" w:w="2494"/>
          </w:tcPr>
          <w:p>
            <w:pPr>
              <w:bidi w:val="1"/>
              <w:spacing w:before="0" w:after="0" w:line="264" w:lineRule="auto"/>
            </w:pPr>
            <w:r>
              <w:rPr>
                <w:rFonts w:ascii="Arial" w:hAnsi="Arial" w:cs="Arial" w:eastAsia="Arial"/>
                <w:color w:val="0E1E3A"/>
                <w:sz w:val="17"/>
                <w:szCs w:val="17"/>
              </w:rPr>
              <w:t>‎-1.14%‎</w:t>
            </w:r>
          </w:p>
        </w:tc>
        <w:tc>
          <w:tcPr>
            <w:tcW w:type="dxa" w:w="2494"/>
          </w:tcPr>
          <w:p>
            <w:pPr>
              <w:bidi w:val="1"/>
              <w:spacing w:before="0" w:after="0" w:line="264" w:lineRule="auto"/>
            </w:pPr>
            <w:r>
              <w:rPr>
                <w:rFonts w:ascii="Arial" w:hAnsi="Arial" w:cs="Arial" w:eastAsia="Arial"/>
                <w:color w:val="0E1E3A"/>
                <w:sz w:val="17"/>
                <w:szCs w:val="17"/>
              </w:rPr>
              <w:t>‎1.14%‎</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 xml:space="preserve">* عن الفترة من 1 يناير 2022م إلى 31 مارس 2022م متضمنة التوزيعات النقدية بنسبة </w:t>
      </w:r>
      <w:r>
        <w:rPr>
          <w:rFonts w:ascii="Arial" w:hAnsi="Arial" w:cs="Arial" w:eastAsia="Arial"/>
          <w:color w:val="5A6478"/>
          <w:sz w:val="17"/>
          <w:szCs w:val="17"/>
        </w:rPr>
        <w:t>‎2.50%‎</w:t>
      </w:r>
      <w:r>
        <w:br/>
      </w:r>
      <w:r>
        <w:rPr>
          <w:rFonts w:ascii="Arial" w:hAnsi="Arial" w:cs="Arial" w:eastAsia="Arial"/>
          <w:color w:val="5A6478"/>
          <w:sz w:val="17"/>
          <w:szCs w:val="17"/>
          <w:rtl/>
        </w:rPr>
        <w:t xml:space="preserve">** عن الفترة من 1 يناير 2022م إلى 31 مارس 2022م متضمنة التوزيعات النقدية بنسبة </w:t>
      </w:r>
      <w:r>
        <w:rPr>
          <w:rFonts w:ascii="Arial" w:hAnsi="Arial" w:cs="Arial" w:eastAsia="Arial"/>
          <w:color w:val="5A6478"/>
          <w:sz w:val="17"/>
          <w:szCs w:val="17"/>
        </w:rPr>
        <w:t>‎2.50%‎</w:t>
      </w:r>
      <w:r>
        <w:br/>
      </w:r>
      <w:r>
        <w:rPr>
          <w:rFonts w:ascii="Arial" w:hAnsi="Arial" w:cs="Arial" w:eastAsia="Arial"/>
          <w:color w:val="5A6478"/>
          <w:sz w:val="17"/>
          <w:szCs w:val="17"/>
          <w:rtl/>
        </w:rPr>
        <w:t xml:space="preserve">*** عن الفترة من 31 مارس 2021م إلى 31 مارس 2022م متضمنة توزيعات نقدية بنسبة </w:t>
      </w:r>
      <w:r>
        <w:rPr>
          <w:rFonts w:ascii="Arial" w:hAnsi="Arial" w:cs="Arial" w:eastAsia="Arial"/>
          <w:color w:val="5A6478"/>
          <w:sz w:val="17"/>
          <w:szCs w:val="17"/>
        </w:rPr>
        <w:t>‎4.2%‎</w:t>
      </w:r>
      <w:r>
        <w:rPr>
          <w:rFonts w:ascii="Arial" w:hAnsi="Arial" w:cs="Arial" w:eastAsia="Arial"/>
          <w:color w:val="5A6478"/>
          <w:sz w:val="17"/>
          <w:szCs w:val="17"/>
          <w:rtl/>
        </w:rPr>
        <w:t xml:space="preserve"> (سعر الوحدة 31 مارس 2021م = 9.9531 ر.س).</w:t>
      </w:r>
      <w:r>
        <w:br/>
      </w:r>
      <w:r>
        <w:rPr>
          <w:rFonts w:ascii="Arial" w:hAnsi="Arial" w:cs="Arial" w:eastAsia="Arial"/>
          <w:color w:val="5A6478"/>
          <w:sz w:val="17"/>
          <w:szCs w:val="17"/>
          <w:rtl/>
        </w:rPr>
        <w:t>يجب الإحاطة بأن سعر الوحدة في السوق المالية يخضع للارتفاع والانخفاض بناءً على عوامل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0" name="Picture 9041"/>
            <wp:cNvGraphicFramePr>
              <a:graphicFrameLocks noChangeAspect="1"/>
            </wp:cNvGraphicFramePr>
            <a:graphic>
              <a:graphicData uri="http://schemas.openxmlformats.org/drawingml/2006/picture">
                <pic:pic>
                  <pic:nvPicPr>
                    <pic:cNvPr id="0" name="ico_47bcec02f49b9d1a764a57a70a5c8310.png"/>
                    <pic:cNvPicPr/>
                  </pic:nvPicPr>
                  <pic:blipFill>
                    <a:blip r:embed="rId21"/>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الأداء والمخاطر</w:t>
      </w:r>
    </w:p>
    <w:tbl>
      <w:tblPr>
        <w:bidiVisual/>
        <w:tblW w:w="5000" w:type="pct"/>
        <w:tblBorders>
          <w:top w:val="single" w:sz="4" w:space="0" w:color="DCE3EE"/>
          <w:left w:val="nil"/>
          <w:bottom w:val="single" w:sz="4" w:space="0" w:color="DCE3EE"/>
          <w:right w:val="nil"/>
          <w:insideH w:val="single" w:sz="4" w:space="0" w:color="DCE3EE"/>
          <w:insideV w:val="nil"/>
        </w:tblBorders>
        <w:tblCellMar>
          <w:top w:w="48" w:type="dxa"/>
          <w:left w:w="91" w:type="dxa"/>
          <w:bottom w:w="48" w:type="dxa"/>
          <w:right w:w="91" w:type="dxa"/>
        </w:tblCellMar>
        <w:tblLook w:firstColumn="1" w:firstRow="1" w:lastColumn="0" w:lastRow="0" w:noHBand="0" w:noVBand="1" w:val="04A0"/>
      </w:tblPr>
      <w:tblGrid>
        <w:gridCol w:w="2494"/>
        <w:gridCol w:w="2494"/>
        <w:gridCol w:w="2494"/>
        <w:gridCol w:w="2494"/>
      </w:tblGrid>
      <w:tr>
        <w:trPr>
          <w:tblHeader/>
        </w:trPr>
        <w:tc>
          <w:tcPr>
            <w:tcW w:type="dxa" w:w="2494"/>
            <w:shd w:val="clear" w:color="auto" w:fill="12284B"/>
          </w:tcPr>
          <w:p>
            <w:pPr>
              <w:bidi w:val="1"/>
              <w:spacing w:before="0" w:after="0" w:line="264" w:lineRule="auto"/>
            </w:pPr>
            <w:r>
              <w:rPr>
                <w:rFonts w:ascii="Arial" w:hAnsi="Arial" w:cs="Arial" w:eastAsia="Arial"/>
                <w:b/>
                <w:bCs/>
                <w:color w:val="FFFFFF"/>
                <w:sz w:val="17"/>
                <w:szCs w:val="17"/>
                <w:rtl/>
              </w:rPr>
              <w:t>معايير الأداء والمخاطر</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3 أشهر</w:t>
            </w:r>
            <w:r>
              <w:rPr>
                <w:rFonts w:ascii="Arial" w:hAnsi="Arial" w:cs="Arial" w:eastAsia="Arial"/>
                <w:b/>
                <w:bCs/>
                <w:color w:val="FFFFFF"/>
                <w:sz w:val="17"/>
                <w:szCs w:val="17"/>
                <w:rtl/>
              </w:rPr>
              <w:t>1</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حتى تاريخ 31 مارس 2022م</w:t>
            </w:r>
            <w:r>
              <w:rPr>
                <w:rFonts w:ascii="Arial" w:hAnsi="Arial" w:cs="Arial" w:eastAsia="Arial"/>
                <w:b/>
                <w:bCs/>
                <w:color w:val="FFFFFF"/>
                <w:sz w:val="17"/>
                <w:szCs w:val="17"/>
                <w:rtl/>
              </w:rPr>
              <w:t>2</w:t>
            </w:r>
          </w:p>
        </w:tc>
        <w:tc>
          <w:tcPr>
            <w:tcW w:type="dxa" w:w="2494"/>
            <w:shd w:val="clear" w:color="auto" w:fill="12284B"/>
          </w:tcPr>
          <w:p>
            <w:pPr>
              <w:bidi w:val="1"/>
              <w:spacing w:before="0" w:after="0" w:line="264" w:lineRule="auto"/>
            </w:pPr>
            <w:r>
              <w:rPr>
                <w:rFonts w:ascii="Arial" w:hAnsi="Arial" w:cs="Arial" w:eastAsia="Arial"/>
                <w:b/>
                <w:bCs/>
                <w:color w:val="FFFFFF"/>
                <w:sz w:val="17"/>
                <w:szCs w:val="17"/>
                <w:rtl/>
              </w:rPr>
              <w:t>سنة واحدة</w:t>
            </w:r>
          </w:p>
        </w:tc>
      </w:tr>
      <w:tr>
        <w:tc>
          <w:tcPr>
            <w:tcW w:type="dxa" w:w="2494"/>
          </w:tcPr>
          <w:p>
            <w:pPr>
              <w:bidi w:val="1"/>
              <w:spacing w:before="0" w:after="0" w:line="264" w:lineRule="auto"/>
            </w:pPr>
            <w:r>
              <w:rPr>
                <w:rFonts w:ascii="Arial" w:hAnsi="Arial" w:cs="Arial" w:eastAsia="Arial"/>
                <w:color w:val="0E1E3A"/>
                <w:sz w:val="17"/>
                <w:szCs w:val="17"/>
                <w:rtl/>
              </w:rPr>
              <w:t>الانحراف المعياري</w:t>
            </w:r>
            <w:r>
              <w:rPr>
                <w:rFonts w:ascii="Arial" w:hAnsi="Arial" w:cs="Arial" w:eastAsia="Arial"/>
                <w:color w:val="0E1E3A"/>
                <w:sz w:val="17"/>
                <w:szCs w:val="17"/>
                <w:rtl/>
              </w:rPr>
              <w:t>3</w:t>
            </w:r>
          </w:p>
        </w:tc>
        <w:tc>
          <w:tcPr>
            <w:tcW w:type="dxa" w:w="2494"/>
          </w:tcPr>
          <w:p>
            <w:pPr>
              <w:bidi w:val="1"/>
              <w:spacing w:before="0" w:after="0" w:line="264" w:lineRule="auto"/>
            </w:pPr>
            <w:r>
              <w:rPr>
                <w:rFonts w:ascii="Arial" w:hAnsi="Arial" w:cs="Arial" w:eastAsia="Arial"/>
                <w:color w:val="0E1E3A"/>
                <w:sz w:val="17"/>
                <w:szCs w:val="17"/>
                <w:rtl/>
              </w:rPr>
              <w:t>9.18</w:t>
            </w:r>
          </w:p>
        </w:tc>
        <w:tc>
          <w:tcPr>
            <w:tcW w:type="dxa" w:w="2494"/>
          </w:tcPr>
          <w:p>
            <w:pPr>
              <w:bidi w:val="1"/>
              <w:spacing w:before="0" w:after="0" w:line="264" w:lineRule="auto"/>
            </w:pPr>
            <w:r>
              <w:rPr>
                <w:rFonts w:ascii="Arial" w:hAnsi="Arial" w:cs="Arial" w:eastAsia="Arial"/>
                <w:color w:val="0E1E3A"/>
                <w:sz w:val="17"/>
                <w:szCs w:val="17"/>
                <w:rtl/>
              </w:rPr>
              <w:t>9.18</w:t>
            </w:r>
          </w:p>
        </w:tc>
        <w:tc>
          <w:tcPr>
            <w:tcW w:type="dxa" w:w="2494"/>
          </w:tcPr>
          <w:p>
            <w:pPr>
              <w:bidi w:val="1"/>
              <w:spacing w:before="0" w:after="0" w:line="264" w:lineRule="auto"/>
            </w:pPr>
            <w:r>
              <w:rPr>
                <w:rFonts w:ascii="Arial" w:hAnsi="Arial" w:cs="Arial" w:eastAsia="Arial"/>
                <w:color w:val="0E1E3A"/>
                <w:sz w:val="17"/>
                <w:szCs w:val="17"/>
                <w:rtl/>
              </w:rPr>
              <w:t>6.70</w:t>
            </w:r>
          </w:p>
        </w:tc>
      </w:tr>
      <w:tr>
        <w:tc>
          <w:tcPr>
            <w:tcW w:type="dxa" w:w="2494"/>
          </w:tcPr>
          <w:p>
            <w:pPr>
              <w:bidi w:val="1"/>
              <w:spacing w:before="0" w:after="0" w:line="264" w:lineRule="auto"/>
            </w:pPr>
            <w:r>
              <w:rPr>
                <w:rFonts w:ascii="Arial" w:hAnsi="Arial" w:cs="Arial" w:eastAsia="Arial"/>
                <w:color w:val="0E1E3A"/>
                <w:sz w:val="17"/>
                <w:szCs w:val="17"/>
                <w:rtl/>
              </w:rPr>
              <w:t>مؤشر شارب</w:t>
            </w:r>
            <w:r>
              <w:rPr>
                <w:rFonts w:ascii="Arial" w:hAnsi="Arial" w:cs="Arial" w:eastAsia="Arial"/>
                <w:color w:val="0E1E3A"/>
                <w:sz w:val="17"/>
                <w:szCs w:val="17"/>
                <w:rtl/>
              </w:rPr>
              <w:t>4</w:t>
            </w:r>
          </w:p>
        </w:tc>
        <w:tc>
          <w:tcPr>
            <w:tcW w:type="dxa" w:w="2494"/>
          </w:tcPr>
          <w:p>
            <w:pPr>
              <w:bidi w:val="1"/>
              <w:spacing w:before="0" w:after="0" w:line="264" w:lineRule="auto"/>
            </w:pPr>
            <w:r>
              <w:rPr>
                <w:rFonts w:ascii="Arial" w:hAnsi="Arial" w:cs="Arial" w:eastAsia="Arial"/>
                <w:color w:val="0E1E3A"/>
                <w:sz w:val="17"/>
                <w:szCs w:val="17"/>
                <w:rtl/>
              </w:rPr>
              <w:t>-0.70</w:t>
            </w:r>
          </w:p>
        </w:tc>
        <w:tc>
          <w:tcPr>
            <w:tcW w:type="dxa" w:w="2494"/>
          </w:tcPr>
          <w:p>
            <w:pPr>
              <w:bidi w:val="1"/>
              <w:spacing w:before="0" w:after="0" w:line="264" w:lineRule="auto"/>
            </w:pPr>
            <w:r>
              <w:rPr>
                <w:rFonts w:ascii="Arial" w:hAnsi="Arial" w:cs="Arial" w:eastAsia="Arial"/>
                <w:color w:val="0E1E3A"/>
                <w:sz w:val="17"/>
                <w:szCs w:val="17"/>
                <w:rtl/>
              </w:rPr>
              <w:t>-0.70</w:t>
            </w:r>
          </w:p>
        </w:tc>
        <w:tc>
          <w:tcPr>
            <w:tcW w:type="dxa" w:w="2494"/>
          </w:tcPr>
          <w:p>
            <w:pPr>
              <w:bidi w:val="1"/>
              <w:spacing w:before="0" w:after="0" w:line="264" w:lineRule="auto"/>
            </w:pPr>
            <w:r>
              <w:rPr>
                <w:rFonts w:ascii="Arial" w:hAnsi="Arial" w:cs="Arial" w:eastAsia="Arial"/>
                <w:color w:val="0E1E3A"/>
                <w:sz w:val="17"/>
                <w:szCs w:val="17"/>
                <w:rtl/>
              </w:rPr>
              <w:t>-0.52</w:t>
            </w:r>
          </w:p>
        </w:tc>
      </w:tr>
      <w:tr>
        <w:tc>
          <w:tcPr>
            <w:tcW w:type="dxa" w:w="2494"/>
          </w:tcPr>
          <w:p>
            <w:pPr>
              <w:bidi w:val="1"/>
              <w:spacing w:before="0" w:after="0" w:line="264" w:lineRule="auto"/>
            </w:pPr>
            <w:r>
              <w:rPr>
                <w:rFonts w:ascii="Arial" w:hAnsi="Arial" w:cs="Arial" w:eastAsia="Arial"/>
                <w:color w:val="0E1E3A"/>
                <w:sz w:val="17"/>
                <w:szCs w:val="17"/>
                <w:rtl/>
              </w:rPr>
              <w:t>خطأ التتبع</w:t>
            </w:r>
            <w:r>
              <w:rPr>
                <w:rFonts w:ascii="Arial" w:hAnsi="Arial" w:cs="Arial" w:eastAsia="Arial"/>
                <w:color w:val="0E1E3A"/>
                <w:sz w:val="17"/>
                <w:szCs w:val="17"/>
                <w:rtl/>
              </w:rPr>
              <w:t>5</w:t>
            </w:r>
          </w:p>
        </w:tc>
        <w:tc>
          <w:tcPr>
            <w:tcW w:type="dxa" w:w="2494"/>
          </w:tcPr>
          <w:p>
            <w:pPr>
              <w:bidi w:val="1"/>
              <w:spacing w:before="0" w:after="0" w:line="264" w:lineRule="auto"/>
            </w:pPr>
            <w:r>
              <w:rPr>
                <w:rFonts w:ascii="Arial" w:hAnsi="Arial" w:cs="Arial" w:eastAsia="Arial"/>
                <w:color w:val="0E1E3A"/>
                <w:sz w:val="17"/>
                <w:szCs w:val="17"/>
                <w:rtl/>
              </w:rPr>
              <w:t>9.19</w:t>
            </w:r>
          </w:p>
        </w:tc>
        <w:tc>
          <w:tcPr>
            <w:tcW w:type="dxa" w:w="2494"/>
          </w:tcPr>
          <w:p>
            <w:pPr>
              <w:bidi w:val="1"/>
              <w:spacing w:before="0" w:after="0" w:line="264" w:lineRule="auto"/>
            </w:pPr>
            <w:r>
              <w:rPr>
                <w:rFonts w:ascii="Arial" w:hAnsi="Arial" w:cs="Arial" w:eastAsia="Arial"/>
                <w:color w:val="0E1E3A"/>
                <w:sz w:val="17"/>
                <w:szCs w:val="17"/>
                <w:rtl/>
              </w:rPr>
              <w:t>9.19</w:t>
            </w:r>
          </w:p>
        </w:tc>
        <w:tc>
          <w:tcPr>
            <w:tcW w:type="dxa" w:w="2494"/>
          </w:tcPr>
          <w:p>
            <w:pPr>
              <w:bidi w:val="1"/>
              <w:spacing w:before="0" w:after="0" w:line="264" w:lineRule="auto"/>
            </w:pPr>
            <w:r>
              <w:rPr>
                <w:rFonts w:ascii="Arial" w:hAnsi="Arial" w:cs="Arial" w:eastAsia="Arial"/>
                <w:color w:val="0E1E3A"/>
                <w:sz w:val="17"/>
                <w:szCs w:val="17"/>
                <w:rtl/>
              </w:rPr>
              <w:t>6.70</w:t>
            </w:r>
          </w:p>
        </w:tc>
      </w:tr>
      <w:tr>
        <w:tc>
          <w:tcPr>
            <w:tcW w:type="dxa" w:w="2494"/>
          </w:tcPr>
          <w:p>
            <w:pPr>
              <w:bidi w:val="1"/>
              <w:spacing w:before="0" w:after="0" w:line="264" w:lineRule="auto"/>
            </w:pPr>
            <w:r>
              <w:rPr>
                <w:rFonts w:ascii="Arial" w:hAnsi="Arial" w:cs="Arial" w:eastAsia="Arial"/>
                <w:color w:val="0E1E3A"/>
                <w:sz w:val="17"/>
                <w:szCs w:val="17"/>
                <w:rtl/>
              </w:rPr>
              <w:t>بيتا</w:t>
            </w:r>
            <w:r>
              <w:rPr>
                <w:rFonts w:ascii="Arial" w:hAnsi="Arial" w:cs="Arial" w:eastAsia="Arial"/>
                <w:color w:val="0E1E3A"/>
                <w:sz w:val="17"/>
                <w:szCs w:val="17"/>
                <w:rtl/>
              </w:rPr>
              <w:t>6</w:t>
            </w:r>
          </w:p>
        </w:tc>
        <w:tc>
          <w:tcPr>
            <w:tcW w:type="dxa" w:w="2494"/>
          </w:tcPr>
          <w:p>
            <w:pPr>
              <w:bidi w:val="1"/>
              <w:spacing w:before="0" w:after="0" w:line="264" w:lineRule="auto"/>
            </w:pPr>
            <w:r>
              <w:rPr>
                <w:rFonts w:ascii="Arial" w:hAnsi="Arial" w:cs="Arial" w:eastAsia="Arial"/>
                <w:color w:val="0E1E3A"/>
                <w:sz w:val="17"/>
                <w:szCs w:val="17"/>
                <w:rtl/>
              </w:rPr>
              <w:t>-2.32</w:t>
            </w:r>
          </w:p>
        </w:tc>
        <w:tc>
          <w:tcPr>
            <w:tcW w:type="dxa" w:w="2494"/>
          </w:tcPr>
          <w:p>
            <w:pPr>
              <w:bidi w:val="1"/>
              <w:spacing w:before="0" w:after="0" w:line="264" w:lineRule="auto"/>
            </w:pPr>
            <w:r>
              <w:rPr>
                <w:rFonts w:ascii="Arial" w:hAnsi="Arial" w:cs="Arial" w:eastAsia="Arial"/>
                <w:color w:val="0E1E3A"/>
                <w:sz w:val="17"/>
                <w:szCs w:val="17"/>
                <w:rtl/>
              </w:rPr>
              <w:t>-2.32</w:t>
            </w:r>
          </w:p>
        </w:tc>
        <w:tc>
          <w:tcPr>
            <w:tcW w:type="dxa" w:w="2494"/>
          </w:tcPr>
          <w:p>
            <w:pPr>
              <w:bidi w:val="1"/>
              <w:spacing w:before="0" w:after="0" w:line="264" w:lineRule="auto"/>
            </w:pPr>
            <w:r>
              <w:rPr>
                <w:rFonts w:ascii="Arial" w:hAnsi="Arial" w:cs="Arial" w:eastAsia="Arial"/>
                <w:color w:val="0E1E3A"/>
                <w:sz w:val="17"/>
                <w:szCs w:val="17"/>
                <w:rtl/>
              </w:rPr>
              <w:t>-0.96</w:t>
            </w:r>
          </w:p>
        </w:tc>
      </w:tr>
      <w:tr>
        <w:tc>
          <w:tcPr>
            <w:tcW w:type="dxa" w:w="2494"/>
          </w:tcPr>
          <w:p>
            <w:pPr>
              <w:bidi w:val="1"/>
              <w:spacing w:before="0" w:after="0" w:line="264" w:lineRule="auto"/>
            </w:pPr>
            <w:r>
              <w:rPr>
                <w:rFonts w:ascii="Arial" w:hAnsi="Arial" w:cs="Arial" w:eastAsia="Arial"/>
                <w:color w:val="0E1E3A"/>
                <w:sz w:val="17"/>
                <w:szCs w:val="17"/>
                <w:rtl/>
              </w:rPr>
              <w:t>ألفا</w:t>
            </w:r>
            <w:r>
              <w:rPr>
                <w:rFonts w:ascii="Arial" w:hAnsi="Arial" w:cs="Arial" w:eastAsia="Arial"/>
                <w:color w:val="0E1E3A"/>
                <w:sz w:val="17"/>
                <w:szCs w:val="17"/>
                <w:rtl/>
              </w:rPr>
              <w:t>7</w:t>
            </w:r>
          </w:p>
        </w:tc>
        <w:tc>
          <w:tcPr>
            <w:tcW w:type="dxa" w:w="2494"/>
          </w:tcPr>
          <w:p>
            <w:pPr>
              <w:bidi w:val="1"/>
              <w:spacing w:before="0" w:after="0" w:line="264" w:lineRule="auto"/>
            </w:pPr>
            <w:r>
              <w:rPr>
                <w:rFonts w:ascii="Arial" w:hAnsi="Arial" w:cs="Arial" w:eastAsia="Arial"/>
                <w:color w:val="0E1E3A"/>
                <w:sz w:val="17"/>
                <w:szCs w:val="17"/>
                <w:rtl/>
              </w:rPr>
              <w:t>-9.77</w:t>
            </w:r>
          </w:p>
        </w:tc>
        <w:tc>
          <w:tcPr>
            <w:tcW w:type="dxa" w:w="2494"/>
          </w:tcPr>
          <w:p>
            <w:pPr>
              <w:bidi w:val="1"/>
              <w:spacing w:before="0" w:after="0" w:line="264" w:lineRule="auto"/>
            </w:pPr>
            <w:r>
              <w:rPr>
                <w:rFonts w:ascii="Arial" w:hAnsi="Arial" w:cs="Arial" w:eastAsia="Arial"/>
                <w:color w:val="0E1E3A"/>
                <w:sz w:val="17"/>
                <w:szCs w:val="17"/>
                <w:rtl/>
              </w:rPr>
              <w:t>-9.77</w:t>
            </w:r>
          </w:p>
        </w:tc>
        <w:tc>
          <w:tcPr>
            <w:tcW w:type="dxa" w:w="2494"/>
          </w:tcPr>
          <w:p>
            <w:pPr>
              <w:bidi w:val="1"/>
              <w:spacing w:before="0" w:after="0" w:line="264" w:lineRule="auto"/>
            </w:pPr>
            <w:r>
              <w:rPr>
                <w:rFonts w:ascii="Arial" w:hAnsi="Arial" w:cs="Arial" w:eastAsia="Arial"/>
                <w:color w:val="0E1E3A"/>
                <w:sz w:val="17"/>
                <w:szCs w:val="17"/>
                <w:rtl/>
              </w:rPr>
              <w:t>-6.60</w:t>
            </w:r>
          </w:p>
        </w:tc>
      </w:tr>
      <w:tr>
        <w:tc>
          <w:tcPr>
            <w:tcW w:type="dxa" w:w="2494"/>
          </w:tcPr>
          <w:p>
            <w:pPr>
              <w:bidi w:val="1"/>
              <w:spacing w:before="0" w:after="0" w:line="264" w:lineRule="auto"/>
            </w:pPr>
            <w:r>
              <w:rPr>
                <w:rFonts w:ascii="Arial" w:hAnsi="Arial" w:cs="Arial" w:eastAsia="Arial"/>
                <w:color w:val="0E1E3A"/>
                <w:sz w:val="17"/>
                <w:szCs w:val="17"/>
                <w:rtl/>
              </w:rPr>
              <w:t>مؤشر المعلومات</w:t>
            </w:r>
            <w:r>
              <w:rPr>
                <w:rFonts w:ascii="Arial" w:hAnsi="Arial" w:cs="Arial" w:eastAsia="Arial"/>
                <w:color w:val="0E1E3A"/>
                <w:sz w:val="17"/>
                <w:szCs w:val="17"/>
                <w:rtl/>
              </w:rPr>
              <w:t>8</w:t>
            </w:r>
          </w:p>
        </w:tc>
        <w:tc>
          <w:tcPr>
            <w:tcW w:type="dxa" w:w="2494"/>
          </w:tcPr>
          <w:p>
            <w:pPr>
              <w:bidi w:val="1"/>
              <w:spacing w:before="0" w:after="0" w:line="264" w:lineRule="auto"/>
            </w:pPr>
            <w:r>
              <w:rPr>
                <w:rFonts w:ascii="Arial" w:hAnsi="Arial" w:cs="Arial" w:eastAsia="Arial"/>
                <w:color w:val="0E1E3A"/>
                <w:sz w:val="17"/>
                <w:szCs w:val="17"/>
                <w:rtl/>
              </w:rPr>
              <w:t>-1.06</w:t>
            </w:r>
          </w:p>
        </w:tc>
        <w:tc>
          <w:tcPr>
            <w:tcW w:type="dxa" w:w="2494"/>
          </w:tcPr>
          <w:p>
            <w:pPr>
              <w:bidi w:val="1"/>
              <w:spacing w:before="0" w:after="0" w:line="264" w:lineRule="auto"/>
            </w:pPr>
            <w:r>
              <w:rPr>
                <w:rFonts w:ascii="Arial" w:hAnsi="Arial" w:cs="Arial" w:eastAsia="Arial"/>
                <w:color w:val="0E1E3A"/>
                <w:sz w:val="17"/>
                <w:szCs w:val="17"/>
                <w:rtl/>
              </w:rPr>
              <w:t>-1.06</w:t>
            </w:r>
          </w:p>
        </w:tc>
        <w:tc>
          <w:tcPr>
            <w:tcW w:type="dxa" w:w="2494"/>
          </w:tcPr>
          <w:p>
            <w:pPr>
              <w:bidi w:val="1"/>
              <w:spacing w:before="0" w:after="0" w:line="264" w:lineRule="auto"/>
            </w:pPr>
            <w:r>
              <w:rPr>
                <w:rFonts w:ascii="Arial" w:hAnsi="Arial" w:cs="Arial" w:eastAsia="Arial"/>
                <w:color w:val="0E1E3A"/>
                <w:sz w:val="17"/>
                <w:szCs w:val="17"/>
                <w:rtl/>
              </w:rPr>
              <w:t>-0.99</w:t>
            </w:r>
          </w:p>
        </w:tc>
      </w:tr>
    </w:tbl>
    <w:p>
      <w:pPr>
        <w:bidi w:val="1"/>
        <w:spacing w:before="0" w:after="40" w:line="300" w:lineRule="auto"/>
      </w:pPr>
    </w:p>
    <w:p>
      <w:pPr>
        <w:bidi w:val="1"/>
        <w:spacing w:before="0" w:after="80" w:line="312" w:lineRule="auto"/>
      </w:pPr>
      <w:r>
        <w:rPr>
          <w:rFonts w:ascii="Arial" w:hAnsi="Arial" w:cs="Arial" w:eastAsia="Arial"/>
          <w:color w:val="5A6478"/>
          <w:sz w:val="17"/>
          <w:szCs w:val="17"/>
          <w:rtl/>
        </w:rPr>
        <w:t>1. عن الفترة من 31 ديسمبر 2021م إلى 31 مارس 2022م.</w:t>
      </w:r>
      <w:r>
        <w:br/>
      </w:r>
      <w:r>
        <w:rPr>
          <w:rFonts w:ascii="Arial" w:hAnsi="Arial" w:cs="Arial" w:eastAsia="Arial"/>
          <w:color w:val="5A6478"/>
          <w:sz w:val="17"/>
          <w:szCs w:val="17"/>
          <w:rtl/>
        </w:rPr>
        <w:t>2. عن الفترة من 31 ديسمبر 2021م إلى 31 مارس 2022م.</w:t>
      </w:r>
      <w:r>
        <w:br/>
      </w:r>
      <w:r>
        <w:rPr>
          <w:rFonts w:ascii="Arial" w:hAnsi="Arial" w:cs="Arial" w:eastAsia="Arial"/>
          <w:color w:val="5A6478"/>
          <w:sz w:val="17"/>
          <w:szCs w:val="17"/>
          <w:rtl/>
        </w:rPr>
        <w:t>3. عن الفترة من 31 مارس 2021م إلى 31 مارس 2022م.</w:t>
      </w:r>
      <w:r>
        <w:br/>
      </w:r>
      <w:r>
        <w:rPr>
          <w:rFonts w:ascii="Arial" w:hAnsi="Arial" w:cs="Arial" w:eastAsia="Arial"/>
          <w:color w:val="5A6478"/>
          <w:sz w:val="17"/>
          <w:szCs w:val="17"/>
          <w:rtl/>
        </w:rPr>
        <w:t>4. الانحراف المعياري هو مقياس للمخاطر ويتم حسابه على أنه التذبذب بين العوائد على مدى فترة زمنية. كلما انخفض التقلب، كانت مجموعة العوائد أكثر تجانسًا.</w:t>
      </w:r>
      <w:r>
        <w:br/>
      </w:r>
      <w:r>
        <w:rPr>
          <w:rFonts w:ascii="Arial" w:hAnsi="Arial" w:cs="Arial" w:eastAsia="Arial"/>
          <w:color w:val="5A6478"/>
          <w:sz w:val="17"/>
          <w:szCs w:val="17"/>
          <w:rtl/>
        </w:rPr>
        <w:t>5. مؤشر شارب هو مقياس أداء معدل المخاطر ويتم حسابه على أنه الفرق كعائد فائض لمدير الصندوق على المعدل الخالي من المخاطر، مقسومًا على الانحراف المعياري. كلما زاد معدل شارب للمحفظة، كلما كان أداءه حسب المخاطر أفضل.</w:t>
      </w:r>
      <w:r>
        <w:br/>
      </w:r>
      <w:r>
        <w:rPr>
          <w:rFonts w:ascii="Arial" w:hAnsi="Arial" w:cs="Arial" w:eastAsia="Arial"/>
          <w:color w:val="5A6478"/>
          <w:sz w:val="17"/>
          <w:szCs w:val="17"/>
          <w:rtl/>
        </w:rPr>
        <w:t>6. خطأ التتبع هو مقياس للمخاطر ويتم حسابه على أنه الانحراف المعياري بين عائد مدير الصندوق وعائد المؤشر. كلما انخفض خطأ التتبع، كلما انحرف مدير الصندوق عن المؤشر.</w:t>
      </w:r>
      <w:r>
        <w:br/>
      </w:r>
      <w:r>
        <w:rPr>
          <w:rFonts w:ascii="Arial" w:hAnsi="Arial" w:cs="Arial" w:eastAsia="Arial"/>
          <w:color w:val="5A6478"/>
          <w:sz w:val="17"/>
          <w:szCs w:val="17"/>
          <w:rtl/>
        </w:rPr>
        <w:t>7. بيتا هو مقياس لمتوسط الحساسية التاريخية لعوائد الصندوق مقارنة بعوائد السوق، ويتم احتسابها عن طريق حساب تغاير سعر الوحدة ومؤشر السوق على تباين مؤشر السوق،</w:t>
      </w:r>
      <w:r>
        <w:br/>
      </w:r>
      <w:r>
        <w:rPr>
          <w:rFonts w:ascii="Arial" w:hAnsi="Arial" w:cs="Arial" w:eastAsia="Arial"/>
          <w:color w:val="5A6478"/>
          <w:sz w:val="17"/>
          <w:szCs w:val="17"/>
          <w:rtl/>
        </w:rPr>
        <w:t>8. ألفا يقيس أي تفوق حققه أداء الصندوق مقارنةً بأداء المؤشر المرتبط به.</w:t>
      </w:r>
      <w:r>
        <w:br/>
      </w:r>
      <w:r>
        <w:rPr>
          <w:rFonts w:ascii="Arial" w:hAnsi="Arial" w:cs="Arial" w:eastAsia="Arial"/>
          <w:color w:val="5A6478"/>
          <w:sz w:val="17"/>
          <w:szCs w:val="17"/>
          <w:rtl/>
        </w:rPr>
        <w:t>9. مؤشر المعلومات هو عبارة عن مقياس أداء معدل المخاطر ويتم حسابه على أنه العائد النشط لمدير الصندوق مقسومًا على خطأ التتبع الخاص به. كلما ارتفع معدل المعلومات، كلما ازدادت قدرة مدير الصندوق على تحقيق عوائد زائدة لكل وحدة من المخاطر الزائدة. تم احتساب معايير الأداء والمخاطر بناءً على أسعار تداول للوحدة في السوق.</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1" name="Picture 9042"/>
            <wp:cNvGraphicFramePr>
              <a:graphicFrameLocks noChangeAspect="1"/>
            </wp:cNvGraphicFramePr>
            <a:graphic>
              <a:graphicData uri="http://schemas.openxmlformats.org/drawingml/2006/picture">
                <pic:pic>
                  <pic:nvPicPr>
                    <pic:cNvPr id="0" name="ico_c788ceab6c6867ef93d8dd6b26beef99.png"/>
                    <pic:cNvPicPr/>
                  </pic:nvPicPr>
                  <pic:blipFill>
                    <a:blip r:embed="rId22"/>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مستجدات الصندوق وأي تغيرات أساسية أو جوهرية أو مهمة تؤثر على عمل الصندوق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‎36.7%‎</w:t>
      </w:r>
      <w:r>
        <w:rPr>
          <w:rFonts w:ascii="Arial" w:hAnsi="Arial" w:cs="Arial" w:eastAsia="Arial"/>
          <w:color w:val="0E1E3A"/>
          <w:sz w:val="20"/>
          <w:szCs w:val="20"/>
          <w:rtl/>
        </w:rPr>
        <w:t xml:space="preserve"> من أصول الصندوق في صفقات إجارة تشمل عدة أنواع من المعدات والشركات، غالبيتها في الولايات المتحدة الأمريكية. ومن المتوقع أن تحقق محفظة الإجارة معدل عائد إجمالي يقدر بنسبة من </w:t>
      </w:r>
      <w:r>
        <w:rPr>
          <w:rFonts w:ascii="Arial" w:hAnsi="Arial" w:cs="Arial" w:eastAsia="Arial"/>
          <w:color w:val="0E1E3A"/>
          <w:sz w:val="20"/>
          <w:szCs w:val="20"/>
        </w:rPr>
        <w:t>‎6.0%‎</w:t>
      </w:r>
      <w:r>
        <w:rPr>
          <w:rFonts w:ascii="Arial" w:hAnsi="Arial" w:cs="Arial" w:eastAsia="Arial"/>
          <w:color w:val="0E1E3A"/>
          <w:sz w:val="20"/>
          <w:szCs w:val="20"/>
          <w:rtl/>
        </w:rPr>
        <w:t xml:space="preserve"> إلى </w:t>
      </w:r>
      <w:r>
        <w:rPr>
          <w:rFonts w:ascii="Arial" w:hAnsi="Arial" w:cs="Arial" w:eastAsia="Arial"/>
          <w:color w:val="0E1E3A"/>
          <w:sz w:val="20"/>
          <w:szCs w:val="20"/>
        </w:rPr>
        <w:t>‎6.5%‎</w:t>
      </w:r>
      <w:r>
        <w:rPr>
          <w:rFonts w:ascii="Arial" w:hAnsi="Arial" w:cs="Arial" w:eastAsia="Arial"/>
          <w:color w:val="0E1E3A"/>
          <w:sz w:val="20"/>
          <w:szCs w:val="20"/>
          <w:rtl/>
        </w:rPr>
        <w:t xml:space="preserve"> سنويًا على مدى السنوات الخمس القادمة بإذن الله.</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لأغراض تنويع استثمارات الصندوق، استثمر مدير الصندوق </w:t>
      </w:r>
      <w:r>
        <w:rPr>
          <w:rFonts w:ascii="Arial" w:hAnsi="Arial" w:cs="Arial" w:eastAsia="Arial"/>
          <w:color w:val="0E1E3A"/>
          <w:sz w:val="20"/>
          <w:szCs w:val="20"/>
        </w:rPr>
        <w:t>‎23.6%‎</w:t>
      </w:r>
      <w:r>
        <w:rPr>
          <w:rFonts w:ascii="Arial" w:hAnsi="Arial" w:cs="Arial" w:eastAsia="Arial"/>
          <w:color w:val="0E1E3A"/>
          <w:sz w:val="20"/>
          <w:szCs w:val="20"/>
          <w:rtl/>
        </w:rPr>
        <w:t xml:space="preserve"> من أصول الصندوق في صناديق دخل، تتراوح ما بين تمويل خاص وتمويل تجاري وتسنيد. ويتوقع أن تحقق عائدًا سنويًا يتراوح في المتوسط بين </w:t>
      </w:r>
      <w:r>
        <w:rPr>
          <w:rFonts w:ascii="Arial" w:hAnsi="Arial" w:cs="Arial" w:eastAsia="Arial"/>
          <w:color w:val="0E1E3A"/>
          <w:sz w:val="20"/>
          <w:szCs w:val="20"/>
        </w:rPr>
        <w:t>‎6%‎</w:t>
      </w:r>
      <w:r>
        <w:rPr>
          <w:rFonts w:ascii="Arial" w:hAnsi="Arial" w:cs="Arial" w:eastAsia="Arial"/>
          <w:color w:val="0E1E3A"/>
          <w:sz w:val="20"/>
          <w:szCs w:val="20"/>
          <w:rtl/>
        </w:rPr>
        <w:t xml:space="preserve"> إلى </w:t>
      </w:r>
      <w:r>
        <w:rPr>
          <w:rFonts w:ascii="Arial" w:hAnsi="Arial" w:cs="Arial" w:eastAsia="Arial"/>
          <w:color w:val="0E1E3A"/>
          <w:sz w:val="20"/>
          <w:szCs w:val="20"/>
        </w:rPr>
        <w:t>‎7%‎</w:t>
      </w:r>
      <w:r>
        <w:rPr>
          <w:rFonts w:ascii="Arial" w:hAnsi="Arial" w:cs="Arial" w:eastAsia="Arial"/>
          <w:color w:val="0E1E3A"/>
          <w:sz w:val="20"/>
          <w:szCs w:val="20"/>
          <w:rtl/>
        </w:rPr>
        <w:t>.</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‎16.9%‎</w:t>
      </w:r>
      <w:r>
        <w:rPr>
          <w:rFonts w:ascii="Arial" w:hAnsi="Arial" w:cs="Arial" w:eastAsia="Arial"/>
          <w:color w:val="0E1E3A"/>
          <w:sz w:val="20"/>
          <w:szCs w:val="20"/>
          <w:rtl/>
        </w:rPr>
        <w:t xml:space="preserve"> من أصول الصندوق في صفقات تمويل تجاري مع عدة أطراف مقابلة وفي عدة قطاعات، وكانت غالبيتها في القارة الأوروبية. وجميع الصفقات المبرمة قصيرة الأجل بطبيعتها، وتحقق عوائدًا - بإذن الله -تتراوح ما بين </w:t>
      </w:r>
      <w:r>
        <w:rPr>
          <w:rFonts w:ascii="Arial" w:hAnsi="Arial" w:cs="Arial" w:eastAsia="Arial"/>
          <w:color w:val="0E1E3A"/>
          <w:sz w:val="20"/>
          <w:szCs w:val="20"/>
        </w:rPr>
        <w:t>‎6.0%‎</w:t>
      </w:r>
      <w:r>
        <w:rPr>
          <w:rFonts w:ascii="Arial" w:hAnsi="Arial" w:cs="Arial" w:eastAsia="Arial"/>
          <w:color w:val="0E1E3A"/>
          <w:sz w:val="20"/>
          <w:szCs w:val="20"/>
          <w:rtl/>
        </w:rPr>
        <w:t xml:space="preserve"> إلى </w:t>
      </w:r>
      <w:r>
        <w:rPr>
          <w:rFonts w:ascii="Arial" w:hAnsi="Arial" w:cs="Arial" w:eastAsia="Arial"/>
          <w:color w:val="0E1E3A"/>
          <w:sz w:val="20"/>
          <w:szCs w:val="20"/>
        </w:rPr>
        <w:t>‎7.0%‎</w:t>
      </w:r>
      <w:r>
        <w:rPr>
          <w:rFonts w:ascii="Arial" w:hAnsi="Arial" w:cs="Arial" w:eastAsia="Arial"/>
          <w:color w:val="0E1E3A"/>
          <w:sz w:val="20"/>
          <w:szCs w:val="20"/>
          <w:rtl/>
        </w:rPr>
        <w:t xml:space="preserve"> سنويًا.</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استثمر مدير الصندوق </w:t>
      </w:r>
      <w:r>
        <w:rPr>
          <w:rFonts w:ascii="Arial" w:hAnsi="Arial" w:cs="Arial" w:eastAsia="Arial"/>
          <w:color w:val="0E1E3A"/>
          <w:sz w:val="20"/>
          <w:szCs w:val="20"/>
        </w:rPr>
        <w:t>‎13.1%‎</w:t>
      </w:r>
      <w:r>
        <w:rPr>
          <w:rFonts w:ascii="Arial" w:hAnsi="Arial" w:cs="Arial" w:eastAsia="Arial"/>
          <w:color w:val="0E1E3A"/>
          <w:sz w:val="20"/>
          <w:szCs w:val="20"/>
          <w:rtl/>
        </w:rPr>
        <w:t xml:space="preserve"> من أصول الصندوق في صكوك ذات درجات تصنيف ائتمانية مختلفة، تشمل صكوكًا سيادية وشبه سيادية وصكوك شركات. وقد حصل مدير الصندوق على تسهيلات ائتمانية تدعم زيادة عوائد المحفظة إلى أكثر من </w:t>
      </w:r>
      <w:r>
        <w:rPr>
          <w:rFonts w:ascii="Arial" w:hAnsi="Arial" w:cs="Arial" w:eastAsia="Arial"/>
          <w:color w:val="0E1E3A"/>
          <w:sz w:val="20"/>
          <w:szCs w:val="20"/>
        </w:rPr>
        <w:t>‎4.5%‎</w:t>
      </w:r>
      <w:r>
        <w:rPr>
          <w:rFonts w:ascii="Arial" w:hAnsi="Arial" w:cs="Arial" w:eastAsia="Arial"/>
          <w:color w:val="0E1E3A"/>
          <w:sz w:val="20"/>
          <w:szCs w:val="20"/>
          <w:rtl/>
        </w:rPr>
        <w:t xml:space="preserve"> سنويًا، مع المحافظة على وسط مرجّح لتصنيف المحفظة بدرجة استثمارية.</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2" name="Picture 9043"/>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نظرة على قطاع الإجارة والتمويل التجاري والصكوك</w:t>
      </w:r>
    </w:p>
    <w:p>
      <w:pPr>
        <w:pStyle w:val="Heading3"/>
        <w:keepNext/>
        <w:bidi w:val="1"/>
        <w:spacing w:before="160" w:after="100" w:line="300" w:lineRule="auto"/>
      </w:pPr>
      <w:r>
        <w:rPr>
          <w:rFonts w:ascii="Arial" w:hAnsi="Arial" w:cs="Arial" w:eastAsia="Arial"/>
          <w:b/>
          <w:bCs/>
          <w:color w:val="12284B"/>
          <w:sz w:val="22"/>
          <w:szCs w:val="22"/>
          <w:rtl/>
        </w:rPr>
        <w:t>نظرة على قطاع الإجارة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أثرت الجائحة بشكل كبير على سوق التأجير مع انخفاض حركة المستهلكين للعديد من الشركات وإغلاق بعض الشركات بسبب تدابير الحجر الصحي. وأدت عمليات الحجر الصحي واسعة النطاق في العديد من الدول إلى إغلاق الصناعات التحويلية وغيرها من الشركات الصناعية، مما أثر على الطلب على المعدات والآلات المستأجرة طيلة عام 2020م وحتى 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خلال الربع الأول من عام 2022م، استمرت مشكلات سلسلة التوريد في إعاقة توافر المعدات بشكل عام. علاوةً على ذلك، عزز الصراع بين روسيا وأوكرانيا من تقلبات السوق بشكل عام وساهم في بيئة غير مستقرة بالفعل. ونتيجةً لذلك، انخفض مؤشر التأجير والتمويل الشهري (MLFI-25)، الذي يشير إلى النشاط الاقتصادي لـ 25 شركة تمثل قطاع تمويل المعدات البالغ 900 مليار دولار في الولايات المتحدة، من 61.8 في فبراير إلى 58.2 في مارس 2022م.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في الآونة الأخيرة، شهدت مختلف الصناعات مثل البناء والتعدين والزراعة اتجاهًا متزايدًا لاستئجار أو تأجير المعدات بدلاً من الملكية. يعكس الاتجاه المتزايد لاستكشاف خيارات الإيجار على شراء آلات جديدة في المقام الأول الاهتمام المتزايد للشركات بخفض التكاليف، والذي يترافق أيضًا مع زيادة في خطط التوسع بين الشركات الأصغر.</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من المرجح أن يؤدي قرار بنك الاحتياطي الفيدرالي الأمريكي برفع أسعار الفائدة خلال مارس 2022م إلى ارتفاع تكاليف التمويل على الفور للعديد من أشكال الاقتراض والائتمان. ومن المتوقع أن تؤدي كل زيادة في سعر الفائدة إلى زيادة الضغط في سوق التأجير.</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لتقديرات (The Business Research Company) TBRC، من المتوقع أن ينمو سوق التأجير التمويلي العالمي من 1.35 تريليون دولار أمريكي في عام 2021م إلى 2.40 تريليون دولار أمريكي في عام 2026م، بمعدل نمو سنوي مركب يبلغ حوالي </w:t>
      </w:r>
      <w:r>
        <w:rPr>
          <w:rFonts w:ascii="Arial" w:hAnsi="Arial" w:cs="Arial" w:eastAsia="Arial"/>
          <w:color w:val="0E1E3A"/>
          <w:sz w:val="20"/>
          <w:szCs w:val="20"/>
        </w:rPr>
        <w:t>‎12.0%‎</w:t>
      </w:r>
      <w:r>
        <w:rPr>
          <w:rFonts w:ascii="Arial" w:hAnsi="Arial" w:cs="Arial" w:eastAsia="Arial"/>
          <w:color w:val="0E1E3A"/>
          <w:sz w:val="20"/>
          <w:szCs w:val="20"/>
          <w:rtl/>
        </w:rPr>
        <w:t xml:space="preserve">. ومن المتوقع أن يشهد سوق تأجير معدات السيارات نموًا أسرع، حيث ارتفع بمعدل نمو سنوي مركب قدره </w:t>
      </w:r>
      <w:r>
        <w:rPr>
          <w:rFonts w:ascii="Arial" w:hAnsi="Arial" w:cs="Arial" w:eastAsia="Arial"/>
          <w:color w:val="0E1E3A"/>
          <w:sz w:val="20"/>
          <w:szCs w:val="20"/>
        </w:rPr>
        <w:t>‎14.7%‎</w:t>
      </w:r>
      <w:r>
        <w:rPr>
          <w:rFonts w:ascii="Arial" w:hAnsi="Arial" w:cs="Arial" w:eastAsia="Arial"/>
          <w:color w:val="0E1E3A"/>
          <w:sz w:val="20"/>
          <w:szCs w:val="20"/>
          <w:rtl/>
        </w:rPr>
        <w:t xml:space="preserve"> خلال الفترة 2021م – 2026م.</w:t>
      </w:r>
    </w:p>
    <w:p>
      <w:pPr>
        <w:pStyle w:val="Heading3"/>
        <w:keepNext/>
        <w:bidi w:val="1"/>
        <w:spacing w:before="160" w:after="100" w:line="300" w:lineRule="auto"/>
      </w:pPr>
      <w:r>
        <w:rPr>
          <w:rFonts w:ascii="Arial" w:hAnsi="Arial" w:cs="Arial" w:eastAsia="Arial"/>
          <w:b/>
          <w:bCs/>
          <w:color w:val="12284B"/>
          <w:sz w:val="22"/>
          <w:szCs w:val="22"/>
          <w:rtl/>
        </w:rPr>
        <w:t>نظرة على التمويل التجاري</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لـ UNCTAD، ظلت التجارة العالمية في السلع قوية وعادت الخدمات إلى مستوياتها السابقة قبل انتشار الجائحة لتصل إلى 28.5 تريليون دولار في عام 2021م، بزيادة قدرها </w:t>
      </w:r>
      <w:r>
        <w:rPr>
          <w:rFonts w:ascii="Arial" w:hAnsi="Arial" w:cs="Arial" w:eastAsia="Arial"/>
          <w:color w:val="0E1E3A"/>
          <w:sz w:val="20"/>
          <w:szCs w:val="20"/>
        </w:rPr>
        <w:t>‎25%‎</w:t>
      </w:r>
      <w:r>
        <w:rPr>
          <w:rFonts w:ascii="Arial" w:hAnsi="Arial" w:cs="Arial" w:eastAsia="Arial"/>
          <w:color w:val="0E1E3A"/>
          <w:sz w:val="20"/>
          <w:szCs w:val="20"/>
          <w:rtl/>
        </w:rPr>
        <w:t xml:space="preserve"> مقارنةً بعام 2020م و</w:t>
      </w:r>
      <w:r>
        <w:rPr>
          <w:rFonts w:ascii="Arial" w:hAnsi="Arial" w:cs="Arial" w:eastAsia="Arial"/>
          <w:color w:val="0E1E3A"/>
          <w:sz w:val="20"/>
          <w:szCs w:val="20"/>
        </w:rPr>
        <w:t>‎13%‎</w:t>
      </w:r>
      <w:r>
        <w:rPr>
          <w:rFonts w:ascii="Arial" w:hAnsi="Arial" w:cs="Arial" w:eastAsia="Arial"/>
          <w:color w:val="0E1E3A"/>
          <w:sz w:val="20"/>
          <w:szCs w:val="20"/>
          <w:rtl/>
        </w:rPr>
        <w:t xml:space="preserve"> أعلى مقارنة بعام 2019م. بينما حدثت غالبية أهم أنشطة التجارة العالمية في النصف الأول من عام 2021م، واستمر التقدم العام في النصف الثاني من 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بعد أن شهدت نموًا بطيئًا نسبيًا في الربع الثالث من عام 2021م، زادت التجارة العالمية في السلع بنحو 200 مليار دولار في الربع الرابع من عام 2021م، لتصل إلى قيمة إجمالية تبلغ 5.8 تريليون دولار. وبالمثل، زادت التجارة في الخدمات بمقدار 50 مليار دولار لتصل إلى قيمة إجمالية تبلغ 1.6 تريليون دولار، وهو ما يماثل مستويات ما قبل الجائحة.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ومع ذلك، فإن التوترات المتصاعدة بسبب الصراع الروسي الأوكراني يقلل من آفاق التجارة العالمية. وفقًا لتقرير نشره مركز أبحاث ألماني، (Keil Institute)، ومن المتوقع أن تتأثر الصادرات الروسية بأكبر قدر في فبراير 2022م مقارنةً بالشهر السابق، حيث انخفضت بنسبة </w:t>
      </w:r>
      <w:r>
        <w:rPr>
          <w:rFonts w:ascii="Arial" w:hAnsi="Arial" w:cs="Arial" w:eastAsia="Arial"/>
          <w:color w:val="0E1E3A"/>
          <w:sz w:val="20"/>
          <w:szCs w:val="20"/>
        </w:rPr>
        <w:t>‎11.8%‎</w:t>
      </w:r>
      <w:r>
        <w:rPr>
          <w:rFonts w:ascii="Arial" w:hAnsi="Arial" w:cs="Arial" w:eastAsia="Arial"/>
          <w:color w:val="0E1E3A"/>
          <w:sz w:val="20"/>
          <w:szCs w:val="20"/>
          <w:rtl/>
        </w:rPr>
        <w:t>، تليها الولايات المتحدة بنسبة (</w:t>
      </w:r>
      <w:r>
        <w:rPr>
          <w:rFonts w:ascii="Arial" w:hAnsi="Arial" w:cs="Arial" w:eastAsia="Arial"/>
          <w:color w:val="0E1E3A"/>
          <w:sz w:val="20"/>
          <w:szCs w:val="20"/>
        </w:rPr>
        <w:t>‎3.9%‎</w:t>
      </w:r>
      <w:r>
        <w:rPr>
          <w:rFonts w:ascii="Arial" w:hAnsi="Arial" w:cs="Arial" w:eastAsia="Arial"/>
          <w:color w:val="0E1E3A"/>
          <w:sz w:val="20"/>
          <w:szCs w:val="20"/>
          <w:rtl/>
        </w:rPr>
        <w:t xml:space="preserve"> شهريًا). وكذلك شحنات الاتحاد الأوروبي بنسبة (</w:t>
      </w:r>
      <w:r>
        <w:rPr>
          <w:rFonts w:ascii="Arial" w:hAnsi="Arial" w:cs="Arial" w:eastAsia="Arial"/>
          <w:color w:val="0E1E3A"/>
          <w:sz w:val="20"/>
          <w:szCs w:val="20"/>
        </w:rPr>
        <w:t>‎2.8%‎</w:t>
      </w:r>
      <w:r>
        <w:rPr>
          <w:rFonts w:ascii="Arial" w:hAnsi="Arial" w:cs="Arial" w:eastAsia="Arial"/>
          <w:color w:val="0E1E3A"/>
          <w:sz w:val="20"/>
          <w:szCs w:val="20"/>
          <w:rtl/>
        </w:rPr>
        <w:t xml:space="preserve"> شهريًا) وألمانيا بنسبة (</w:t>
      </w:r>
      <w:r>
        <w:rPr>
          <w:rFonts w:ascii="Arial" w:hAnsi="Arial" w:cs="Arial" w:eastAsia="Arial"/>
          <w:color w:val="0E1E3A"/>
          <w:sz w:val="20"/>
          <w:szCs w:val="20"/>
        </w:rPr>
        <w:t>‎3.8%‎</w:t>
      </w:r>
      <w:r>
        <w:rPr>
          <w:rFonts w:ascii="Arial" w:hAnsi="Arial" w:cs="Arial" w:eastAsia="Arial"/>
          <w:color w:val="0E1E3A"/>
          <w:sz w:val="20"/>
          <w:szCs w:val="20"/>
          <w:rtl/>
        </w:rPr>
        <w:t xml:space="preserve"> شهريًا). بينما شهدت الصين نموًا بنسبة (</w:t>
      </w:r>
      <w:r>
        <w:rPr>
          <w:rFonts w:ascii="Arial" w:hAnsi="Arial" w:cs="Arial" w:eastAsia="Arial"/>
          <w:color w:val="0E1E3A"/>
          <w:sz w:val="20"/>
          <w:szCs w:val="20"/>
        </w:rPr>
        <w:t>‎0.3%‎</w:t>
      </w:r>
      <w:r>
        <w:rPr>
          <w:rFonts w:ascii="Arial" w:hAnsi="Arial" w:cs="Arial" w:eastAsia="Arial"/>
          <w:color w:val="0E1E3A"/>
          <w:sz w:val="20"/>
          <w:szCs w:val="20"/>
          <w:rtl/>
        </w:rPr>
        <w:t xml:space="preserve"> شهريًا)، ولكن هناك مخاوف سريعة بشأن متحور أوميكرون الذي يمكن أن يؤثر على النمو. علاوةً على ذلك، من المتوقع أن تؤدي زيادة الرقابة الجمركية للتحقق من الامتثال للعقوبات المفروضة على روسيا إلى تأخيرات في التجارة البحرية.</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نظرًا لأن حوالي </w:t>
      </w:r>
      <w:r>
        <w:rPr>
          <w:rFonts w:ascii="Arial" w:hAnsi="Arial" w:cs="Arial" w:eastAsia="Arial"/>
          <w:color w:val="0E1E3A"/>
          <w:sz w:val="20"/>
          <w:szCs w:val="20"/>
        </w:rPr>
        <w:t>‎80%‎</w:t>
      </w:r>
      <w:r>
        <w:rPr>
          <w:rFonts w:ascii="Arial" w:hAnsi="Arial" w:cs="Arial" w:eastAsia="Arial"/>
          <w:color w:val="0E1E3A"/>
          <w:sz w:val="20"/>
          <w:szCs w:val="20"/>
          <w:rtl/>
        </w:rPr>
        <w:t xml:space="preserve"> إلى </w:t>
      </w:r>
      <w:r>
        <w:rPr>
          <w:rFonts w:ascii="Arial" w:hAnsi="Arial" w:cs="Arial" w:eastAsia="Arial"/>
          <w:color w:val="0E1E3A"/>
          <w:sz w:val="20"/>
          <w:szCs w:val="20"/>
        </w:rPr>
        <w:t>‎90%‎</w:t>
      </w:r>
      <w:r>
        <w:rPr>
          <w:rFonts w:ascii="Arial" w:hAnsi="Arial" w:cs="Arial" w:eastAsia="Arial"/>
          <w:color w:val="0E1E3A"/>
          <w:sz w:val="20"/>
          <w:szCs w:val="20"/>
          <w:rtl/>
        </w:rPr>
        <w:t xml:space="preserve"> من التجارة العالمية تعتمد على التمويل التأجيري (الائتمان التجاري /التأمين /الضمان)، فمن المرجح أن تؤثر البيئة الاقتصادية غير المؤكدة للتجارة العالمية بشكل سلبي على صناعة التمويل التأجيري بشكل عام.</w:t>
      </w:r>
    </w:p>
    <w:p>
      <w:pPr>
        <w:pStyle w:val="Heading3"/>
        <w:keepNext/>
        <w:bidi w:val="1"/>
        <w:spacing w:before="160" w:after="100" w:line="300" w:lineRule="auto"/>
      </w:pPr>
      <w:r>
        <w:rPr>
          <w:rFonts w:ascii="Arial" w:hAnsi="Arial" w:cs="Arial" w:eastAsia="Arial"/>
          <w:b/>
          <w:bCs/>
          <w:color w:val="12284B"/>
          <w:sz w:val="22"/>
          <w:szCs w:val="22"/>
          <w:rtl/>
        </w:rPr>
        <w:t>نظرة على قطاع الصكوك</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وفقًا لتصنيفات فيتش، ارتفعت إصدارات الصكوك العالمية بنسبة </w:t>
      </w:r>
      <w:r>
        <w:rPr>
          <w:rFonts w:ascii="Arial" w:hAnsi="Arial" w:cs="Arial" w:eastAsia="Arial"/>
          <w:color w:val="0E1E3A"/>
          <w:sz w:val="20"/>
          <w:szCs w:val="20"/>
        </w:rPr>
        <w:t>‎36%‎</w:t>
      </w:r>
      <w:r>
        <w:rPr>
          <w:rFonts w:ascii="Arial" w:hAnsi="Arial" w:cs="Arial" w:eastAsia="Arial"/>
          <w:color w:val="0E1E3A"/>
          <w:sz w:val="20"/>
          <w:szCs w:val="20"/>
          <w:rtl/>
        </w:rPr>
        <w:t xml:space="preserve"> في عام 2021م لتصل إلى 252.3 مليار دولار أمريكي ومن المتوقع أن تستمر في النمو في عام 2022م على خلفية شهية المستثمرين القوية. وجاءت غالبية الإصدارات من إندونيسيا وماليزيا ودول مجلس التعاون الخليجي وتركيا وباكستان.</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اقترب إصدار الصكوك العالمية من 40 مليار دولار في يناير-فبراير 2022م، بزيادة تزيد على </w:t>
      </w:r>
      <w:r>
        <w:rPr>
          <w:rFonts w:ascii="Arial" w:hAnsi="Arial" w:cs="Arial" w:eastAsia="Arial"/>
          <w:color w:val="0E1E3A"/>
          <w:sz w:val="20"/>
          <w:szCs w:val="20"/>
        </w:rPr>
        <w:t>‎7%‎</w:t>
      </w:r>
      <w:r>
        <w:rPr>
          <w:rFonts w:ascii="Arial" w:hAnsi="Arial" w:cs="Arial" w:eastAsia="Arial"/>
          <w:color w:val="0E1E3A"/>
          <w:sz w:val="20"/>
          <w:szCs w:val="20"/>
          <w:rtl/>
        </w:rPr>
        <w:t xml:space="preserve"> مقارنةً بالفترة نفسها من العام الماضي، مما يشير إلى استمرار نمو نشاط السوق.</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ارتفع إصدار الصكوك المرتبطة بالاستدامة أيضًا في عام 2021م مع تزايد أهمية المشاريع الخضراء والمشاريع الاجتماعية وسط جهود تبذلها البلدان للتحول إلى اقتصاد أكثر استدامة. قفز إجمالي إصدار صكوك الاستدامة من 1.6 مليار دولار في عام 2020م إلى 3.7 مليار دولار في عام 2021م.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توقف النمو في الصكوك المقومة بالدولار الأمريكي في شهر مارس بعد الصراع الروسي الأوكراني وزيادة أسعار النفط (قامت فيتش بتعديل توقعاتها إلى 100 دولار للبرميل لعام 2022م و 80 دولارًا للبرميل لعام 2023م)، بالإضافة إلى ارتفاع سعر الفائدة وضغوط التضخم.</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تعتبر النظرة طويلة المدى لسوق الصكوك قوية على خلفية احتياجات التمويل للمصدرين وأهداف التنويع، ولرغبة المستثمرين بشكل رئيسي من البنوك الإسلامية في مجلس التعاون الخليجي، ومن المرجح أن تؤدي السيولة المستقرة بالفعل إلى الارتفاع بسبب ارتفاع أسعار النفط.</w:t>
      </w:r>
    </w:p>
    <w:p>
      <w:pPr>
        <w:bidi w:val="1"/>
        <w:spacing w:before="0" w:after="40" w:line="300" w:lineRule="auto"/>
        <w:ind w:left="420" w:hanging="280"/>
      </w:pPr>
      <w:r>
        <w:rPr>
          <w:rFonts w:ascii="Arial" w:hAnsi="Arial" w:cs="Arial" w:eastAsia="Arial"/>
          <w:color w:val="3B7DD8"/>
          <w:sz w:val="20"/>
          <w:szCs w:val="20"/>
          <w:rtl/>
        </w:rPr>
        <w:t>•</w:t>
        <w:tab/>
      </w:r>
      <w:r>
        <w:rPr>
          <w:rFonts w:ascii="Arial" w:hAnsi="Arial" w:cs="Arial" w:eastAsia="Arial"/>
          <w:color w:val="0E1E3A"/>
          <w:sz w:val="20"/>
          <w:szCs w:val="20"/>
          <w:rtl/>
        </w:rPr>
        <w:t xml:space="preserve">من المتوقع أن يكون للزيادة في أسعار النفط والسلع تأثيرات متفاوتة على أسواق التمويل الإسلامي الرئيسية. يشكل المصدّرون للنفط غالبية أسواق الصكوك الرئيسية وذلك بنسبة </w:t>
      </w:r>
      <w:r>
        <w:rPr>
          <w:rFonts w:ascii="Arial" w:hAnsi="Arial" w:cs="Arial" w:eastAsia="Arial"/>
          <w:color w:val="0E1E3A"/>
          <w:sz w:val="20"/>
          <w:szCs w:val="20"/>
        </w:rPr>
        <w:t>‎70%‎</w:t>
      </w:r>
      <w:r>
        <w:rPr>
          <w:rFonts w:ascii="Arial" w:hAnsi="Arial" w:cs="Arial" w:eastAsia="Arial"/>
          <w:color w:val="0E1E3A"/>
          <w:sz w:val="20"/>
          <w:szCs w:val="20"/>
          <w:rtl/>
        </w:rPr>
        <w:t>، والباقي مستوردين للنفط. يعتبر ربط عملات دول مجلس التعاون الخليجي بالدولار الأمريكي هو ميزة. من المتوقع أن تواجه الأسواق المستوردة للنفط احتياجات تمويلية متزايدة، ومن المتوقع تلبية جزء منها من خلال إصدار الصكوك.</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3" name="Picture 9044"/>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أداء سعر الوحدة المتداولة في السوق *</w:t>
      </w:r>
    </w:p>
    <w:p>
      <w:pPr>
        <w:bidi w:val="1"/>
        <w:spacing w:before="0" w:after="80" w:line="240" w:lineRule="auto"/>
        <w:jc w:val="center"/>
      </w:pPr>
      <w:r>
        <w:drawing>
          <wp:inline xmlns:a="http://schemas.openxmlformats.org/drawingml/2006/main" xmlns:pic="http://schemas.openxmlformats.org/drawingml/2006/picture">
            <wp:extent cx="6336000" cy="2816000"/>
            <wp:docPr id="24" name="Picture 9045"/>
            <wp:cNvGraphicFramePr>
              <a:graphicFrameLocks noChangeAspect="1"/>
            </wp:cNvGraphicFramePr>
            <a:graphic>
              <a:graphicData uri="http://schemas.openxmlformats.org/drawingml/2006/picture">
                <pic:pic>
                  <pic:nvPicPr>
                    <pic:cNvPr id="0" name="x5.j.jpg"/>
                    <pic:cNvPicPr/>
                  </pic:nvPicPr>
                  <pic:blipFill>
                    <a:blip r:embed="rId23"/>
                    <a:stretch>
                      <a:fillRect/>
                    </a:stretch>
                  </pic:blipFill>
                  <pic:spPr>
                    <a:xfrm>
                      <a:off x="0" y="0"/>
                      <a:ext cx="6336000" cy="2816000"/>
                    </a:xfrm>
                    <a:prstGeom prst="rect"/>
                  </pic:spPr>
                </pic:pic>
              </a:graphicData>
            </a:graphic>
          </wp:inline>
        </w:drawing>
      </w:r>
    </w:p>
    <w:p>
      <w:pPr>
        <w:bidi w:val="1"/>
        <w:spacing w:before="0" w:after="80" w:line="312" w:lineRule="auto"/>
      </w:pPr>
      <w:r>
        <w:rPr>
          <w:rFonts w:ascii="Arial" w:hAnsi="Arial" w:cs="Arial" w:eastAsia="Arial"/>
          <w:color w:val="5A6478"/>
          <w:sz w:val="17"/>
          <w:szCs w:val="17"/>
          <w:rtl/>
        </w:rPr>
        <w:t>* الأسعار كما في 31 مارس 2022م.</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5" name="Picture 9046"/>
            <wp:cNvGraphicFramePr>
              <a:graphicFrameLocks noChangeAspect="1"/>
            </wp:cNvGraphicFramePr>
            <a:graphic>
              <a:graphicData uri="http://schemas.openxmlformats.org/drawingml/2006/picture">
                <pic:pic>
                  <pic:nvPicPr>
                    <pic:cNvPr id="0" name="ico_bbf375abac64d5731c279aaa4f54d1d5.png"/>
                    <pic:cNvPicPr/>
                  </pic:nvPicPr>
                  <pic:blipFill>
                    <a:blip r:embed="rId15"/>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للحصول على مزيد من المعلومات</w:t>
      </w:r>
    </w:p>
    <w:p>
      <w:pPr>
        <w:bidi w:val="1"/>
        <w:spacing w:before="0" w:after="80" w:line="312" w:lineRule="auto"/>
      </w:pPr>
      <w:r>
        <w:rPr>
          <w:rFonts w:ascii="Arial" w:hAnsi="Arial" w:cs="Arial" w:eastAsia="Arial"/>
          <w:color w:val="0E1E3A"/>
          <w:sz w:val="20"/>
          <w:szCs w:val="20"/>
          <w:rtl/>
        </w:rPr>
        <w:t>شركة الخبير المالية</w:t>
      </w:r>
      <w:r>
        <w:br/>
      </w:r>
      <w:r>
        <w:rPr>
          <w:rFonts w:ascii="Arial" w:hAnsi="Arial" w:cs="Arial" w:eastAsia="Arial"/>
          <w:color w:val="0E1E3A"/>
          <w:sz w:val="20"/>
          <w:szCs w:val="20"/>
          <w:rtl/>
        </w:rPr>
        <w:t>ص.ب 128289 جدة 21362</w:t>
      </w:r>
      <w:r>
        <w:br/>
      </w:r>
      <w:r>
        <w:rPr>
          <w:rFonts w:ascii="Arial" w:hAnsi="Arial" w:cs="Arial" w:eastAsia="Arial"/>
          <w:color w:val="0E1E3A"/>
          <w:sz w:val="20"/>
          <w:szCs w:val="20"/>
          <w:rtl/>
        </w:rPr>
        <w:t>المملكة العربية السعودية</w:t>
      </w:r>
      <w:r>
        <w:br/>
      </w:r>
      <w:r>
        <w:rPr>
          <w:rFonts w:ascii="Arial" w:hAnsi="Arial" w:cs="Arial" w:eastAsia="Arial"/>
          <w:color w:val="0E1E3A"/>
          <w:sz w:val="20"/>
          <w:szCs w:val="20"/>
          <w:rtl/>
        </w:rPr>
        <w:t xml:space="preserve">هاتف: </w:t>
      </w:r>
      <w:r>
        <w:rPr>
          <w:rFonts w:ascii="Arial" w:hAnsi="Arial" w:cs="Arial" w:eastAsia="Arial"/>
          <w:color w:val="0E1E3A"/>
          <w:sz w:val="20"/>
          <w:szCs w:val="20"/>
        </w:rPr>
        <w:t>‎+966 12 658 8888‎</w:t>
      </w:r>
      <w:r>
        <w:br/>
      </w:r>
      <w:r>
        <w:rPr>
          <w:rFonts w:ascii="Arial" w:hAnsi="Arial" w:cs="Arial" w:eastAsia="Arial"/>
          <w:color w:val="0E1E3A"/>
          <w:sz w:val="20"/>
          <w:szCs w:val="20"/>
          <w:rtl/>
        </w:rPr>
        <w:t xml:space="preserve">فاكس: </w:t>
      </w:r>
      <w:r>
        <w:rPr>
          <w:rFonts w:ascii="Arial" w:hAnsi="Arial" w:cs="Arial" w:eastAsia="Arial"/>
          <w:color w:val="0E1E3A"/>
          <w:sz w:val="20"/>
          <w:szCs w:val="20"/>
        </w:rPr>
        <w:t>‎+966 12 658 6663‎</w:t>
      </w:r>
      <w:r>
        <w:br/>
      </w:r>
      <w:r>
        <w:rPr>
          <w:rFonts w:ascii="Arial" w:hAnsi="Arial" w:cs="Arial" w:eastAsia="Arial"/>
          <w:color w:val="0E1E3A"/>
          <w:sz w:val="20"/>
          <w:szCs w:val="20"/>
          <w:rtl/>
        </w:rPr>
        <w:t>البريد الإلكتروني: info@alkhabeer.com</w:t>
      </w:r>
      <w:r>
        <w:br/>
      </w:r>
      <w:r>
        <w:rPr>
          <w:rFonts w:ascii="Arial" w:hAnsi="Arial" w:cs="Arial" w:eastAsia="Arial"/>
          <w:color w:val="0E1E3A"/>
          <w:sz w:val="20"/>
          <w:szCs w:val="20"/>
          <w:rtl/>
        </w:rPr>
        <w:t>رقم السجل التجاري: 4030177445</w:t>
      </w:r>
      <w:r>
        <w:br/>
      </w:r>
      <w:r>
        <w:rPr>
          <w:rFonts w:ascii="Arial" w:hAnsi="Arial" w:cs="Arial" w:eastAsia="Arial"/>
          <w:color w:val="0E1E3A"/>
          <w:sz w:val="20"/>
          <w:szCs w:val="20"/>
          <w:rtl/>
        </w:rPr>
        <w:t xml:space="preserve">الرخصة الصادرة من هيئة السوق المالية: </w:t>
      </w:r>
      <w:r>
        <w:rPr>
          <w:rFonts w:ascii="Arial" w:hAnsi="Arial" w:cs="Arial" w:eastAsia="Arial"/>
          <w:color w:val="0E1E3A"/>
          <w:sz w:val="20"/>
          <w:szCs w:val="20"/>
        </w:rPr>
        <w:t>‎07074-37‎</w:t>
      </w:r>
      <w:r>
        <w:br/>
      </w:r>
      <w:r>
        <w:rPr>
          <w:rFonts w:ascii="Arial" w:hAnsi="Arial" w:cs="Arial" w:eastAsia="Arial"/>
          <w:color w:val="0E1E3A"/>
          <w:sz w:val="20"/>
          <w:szCs w:val="20"/>
          <w:rtl/>
        </w:rPr>
        <w:t>www.alkhabeer.com</w:t>
      </w:r>
    </w:p>
    <w:p>
      <w:pPr>
        <w:pStyle w:val="Heading2"/>
        <w:keepNext/>
        <w:bidi w:val="1"/>
        <w:spacing w:before="160" w:after="100" w:line="300" w:lineRule="auto"/>
      </w:pPr>
      <w:r>
        <w:rPr>
          <w:position w:val="-4"/>
        </w:rPr>
        <w:drawing>
          <wp:inline xmlns:a="http://schemas.openxmlformats.org/drawingml/2006/main" xmlns:pic="http://schemas.openxmlformats.org/drawingml/2006/picture">
            <wp:extent cx="165600" cy="165600"/>
            <wp:docPr id="26" name="Picture 9047"/>
            <wp:cNvGraphicFramePr>
              <a:graphicFrameLocks noChangeAspect="1"/>
            </wp:cNvGraphicFramePr>
            <a:graphic>
              <a:graphicData uri="http://schemas.openxmlformats.org/drawingml/2006/picture">
                <pic:pic>
                  <pic:nvPicPr>
                    <pic:cNvPr id="0" name="ico_31799530e5dd3dc5b4ca7f2d37945432.png"/>
                    <pic:cNvPicPr/>
                  </pic:nvPicPr>
                  <pic:blipFill>
                    <a:blip r:embed="rId24"/>
                    <a:stretch>
                      <a:fillRect/>
                    </a:stretch>
                  </pic:blipFill>
                  <pic:spPr>
                    <a:xfrm>
                      <a:off x="0" y="0"/>
                      <a:ext cx="165600" cy="165600"/>
                    </a:xfrm>
                    <a:prstGeom prst="rect"/>
                  </pic:spPr>
                </pic:pic>
              </a:graphicData>
            </a:graphic>
          </wp:inline>
        </w:drawing>
      </w:r>
      <w:r>
        <w:t xml:space="preserve">  </w:t>
      </w:r>
      <w:r>
        <w:rPr>
          <w:rFonts w:ascii="Arial" w:hAnsi="Arial" w:cs="Arial" w:eastAsia="Arial"/>
          <w:b/>
          <w:bCs/>
          <w:color w:val="12284B"/>
          <w:sz w:val="26"/>
          <w:szCs w:val="26"/>
          <w:rtl/>
        </w:rPr>
        <w:t>إشعار مهم</w:t>
      </w:r>
    </w:p>
    <w:p>
      <w:pPr>
        <w:bidi w:val="1"/>
        <w:spacing w:before="0" w:after="80" w:line="312" w:lineRule="auto"/>
      </w:pPr>
      <w:r>
        <w:rPr>
          <w:rFonts w:ascii="Arial" w:hAnsi="Arial" w:cs="Arial" w:eastAsia="Arial"/>
          <w:color w:val="5A6478"/>
          <w:sz w:val="17"/>
          <w:szCs w:val="17"/>
          <w:rtl/>
        </w:rPr>
        <w:t>لا تمثل هذه الوثيقة عرضًا للشراء أو الاكتتاب أو المشاركة بأي شكل في صندوق "الخبير للدخل المتنوع المتداول"، ولا تشكل الوثيقة (أو أي جزءٍ منها) أساسًا ولا ينبغي الاعتماد عليها للقيام بما تقدم أو محفزًا لإبرام أي تعاقد مهما كان نوعه. يجب على المستثمرين المحتملين قراءة شروط وأحكام صندوق "الخبير للدخل" وما ورد فيها بشأن مخاطر الاستثمار ووثائقه الأخرى بعناية ودقة قبل اتخاذ القرار وذلك من خلال الموقع الإلكتروني لشركة "الخبير المالية": www.alkhabeer.com. هذا الاستثمار ليس وديعة نقدية لدى بنك محلي. ويمكن أن ترتفع أو تنخفض قيمة الاستثمار وأي دخل آخر متحقق منه. كما يتوجب على جميع المستثمرين الراغبين في الاستثمار التوصل إلى قرارهم بالتشاور مع مستشاريهم الماليين والقانونيين وتقييم جميع المخاطر التي ينطوي عليها الاستثمار. كما لا يمكن إعطاء ضمان بأن النتائج المستهدفة والمتوقعة سوف تتحقق، وبالإضافة إلى ذلك، فإن الأداء السابق لا يضمن النتائج المستقبلية للصندوق. يعد استثمار المستثمر في الصندوق إقرارًا منه باطلاعه على شروط وأحكام الصندوق وقبوله بها. تنتفي المسؤولية عن مدير الصندوق أو أي من تابعيه في حال وقوع أي خسارة مالية للصندوق ما لم يكن ذلك ناتجًا عن أسباب متعمدة من قبل مدير الصندوق.</w:t>
      </w:r>
    </w:p>
    <w:sectPr w:rsidR="00FC693F" w:rsidRPr="0006063C" w:rsidSect="00034616">
      <w:headerReference w:type="default" r:id="rId9"/>
      <w:headerReference w:type="first" r:id="rId11"/>
      <w:footerReference w:type="default" r:id="rId10"/>
      <w:footerReference w:type="first" r:id="rId12"/>
      <w:pgSz w:w="11906" w:h="16838"/>
      <w:pgMar w:top="1247" w:right="964" w:bottom="1134" w:left="964" w:header="567" w:footer="510" w:gutter="0"/>
      <w:cols w:space="720"/>
      <w:titlePg/>
      <w:bidi/>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val="1"/>
      <w:spacing w:before="0" w:after="0" w:line="240" w:lineRule="auto"/>
    </w:pPr>
    <w:r/>
    <w:r>
      <w:rPr>
        <w:rFonts w:ascii="Arial" w:hAnsi="Arial" w:cs="Arial" w:eastAsia="Arial"/>
        <w:color w:val="5A6478"/>
        <w:sz w:val="15"/>
        <w:szCs w:val="15"/>
        <w:rtl/>
      </w:rPr>
      <w:t xml:space="preserve">الخبير المالية · alkhabeer.com      </w:t>
    </w:r>
    <w:r>
      <w:rPr>
        <w:rFonts w:ascii="Arial" w:hAnsi="Arial" w:cs="Arial" w:eastAsia="Arial"/>
        <w:color w:val="5A6478"/>
        <w:sz w:val="15"/>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4" w:color="DCE3EE"/>
      </w:pBdr>
      <w:bidi w:val="1"/>
      <w:spacing w:before="0" w:after="0" w:line="240" w:lineRule="auto"/>
    </w:pPr>
    <w:r/>
    <w:r>
      <w:rPr>
        <w:rFonts w:ascii="Arial" w:hAnsi="Arial" w:cs="Arial" w:eastAsia="Arial"/>
        <w:color w:val="5A6478"/>
        <w:sz w:val="15"/>
        <w:szCs w:val="15"/>
        <w:rtl/>
      </w:rPr>
      <w:t>البيان الربع سنوي</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Arial" w:hAnsi="Aria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Arial" w:hAnsi="Aria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Arial" w:hAnsi="Aria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Arial" w:hAnsi="Aria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Arial" w:hAnsi="Arial" w:cs="Arial" w:eastAsia="Arial"/>
        <w:sz w:val="22"/>
        <w:szCs w:val="22"/>
        <w:lang w:val="ar-SA"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bidi w:val="1"/>
    </w:pPr>
    <w:rPr>
      <w:rFonts w:ascii="Arial" w:hAnsi="Arial" w:cs="Arial" w:eastAsia="Arial"/>
      <w:sz w:val="20"/>
      <w:rt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bidi w:val="1"/>
      <w:spacing w:before="0" w:after="100"/>
      <w:outlineLvl w:val="0"/>
    </w:pPr>
    <w:rPr>
      <w:rFonts w:ascii="Arial" w:hAnsi="Arial" w:cs="Arial" w:eastAsia="Arial"/>
      <w:b/>
      <w:bCs/>
      <w:color w:val="12284B"/>
      <w:sz w:val="36"/>
      <w:szCs w:val="28"/>
      <w:rtl/>
    </w:rPr>
  </w:style>
  <w:style w:type="paragraph" w:styleId="Heading2">
    <w:name w:val="heading 2"/>
    <w:basedOn w:val="Normal"/>
    <w:next w:val="Normal"/>
    <w:link w:val="Heading2Char"/>
    <w:uiPriority w:val="9"/>
    <w:unhideWhenUsed/>
    <w:qFormat/>
    <w:rsid w:val="00FC693F"/>
    <w:pPr>
      <w:keepNext/>
      <w:keepLines/>
      <w:bidi w:val="1"/>
      <w:spacing w:before="200" w:after="100"/>
      <w:outlineLvl w:val="1"/>
    </w:pPr>
    <w:rPr>
      <w:rFonts w:ascii="Arial" w:hAnsi="Arial" w:cs="Arial" w:eastAsia="Arial"/>
      <w:b/>
      <w:bCs/>
      <w:color w:val="12284B"/>
      <w:sz w:val="26"/>
      <w:szCs w:val="26"/>
      <w:rtl/>
    </w:rPr>
  </w:style>
  <w:style w:type="paragraph" w:styleId="Heading3">
    <w:name w:val="heading 3"/>
    <w:basedOn w:val="Normal"/>
    <w:next w:val="Normal"/>
    <w:link w:val="Heading3Char"/>
    <w:uiPriority w:val="9"/>
    <w:unhideWhenUsed/>
    <w:qFormat/>
    <w:rsid w:val="00FC693F"/>
    <w:pPr>
      <w:keepNext/>
      <w:keepLines/>
      <w:bidi w:val="1"/>
      <w:spacing w:before="200" w:after="100"/>
      <w:outlineLvl w:val="2"/>
    </w:pPr>
    <w:rPr>
      <w:rFonts w:ascii="Arial" w:hAnsi="Arial" w:cs="Arial" w:eastAsia="Arial"/>
      <w:b/>
      <w:bCs/>
      <w:color w:val="12284B"/>
      <w:sz w:val="22"/>
      <w:rtl/>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bidi w:val="1"/>
      <w:spacing w:after="300" w:line="240" w:lineRule="auto"/>
      <w:contextualSpacing/>
    </w:pPr>
    <w:rPr>
      <w:rFonts w:ascii="Arial" w:hAnsi="Arial" w:cs="Arial" w:eastAsia="Arial"/>
      <w:color w:val="17365D" w:themeColor="text2" w:themeShade="BF"/>
      <w:spacing w:val="5"/>
      <w:kern w:val="28"/>
      <w:sz w:val="52"/>
      <w:szCs w:val="52"/>
      <w:rtl/>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bidi w:val="1"/>
      <w:ind w:left="720"/>
      <w:contextualSpacing/>
    </w:pPr>
    <w:rPr>
      <w:rFonts w:ascii="Arial" w:hAnsi="Arial" w:cs="Arial" w:eastAsia="Arial"/>
      <w:rtl/>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sz w:val="22"/>
        <w:szCs w:val="22"/>
        <w:lang w:val="en-US" w:eastAsia="Arial"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b/>
      <w:bCs/>
      <w:color w:val="4F81BD" w:themeColor="accent1"/>
      <w:sz w:val="26"/>
      <w:szCs w:val="26"/>
    </w:rPr>
  </w:style>
  <w:style w:type="character" w:customStyle="1" w:styleId="Heading3Char">
    <w:name w:val="Heading 3 Char"/>
    <w:basedOn w:val="DefaultParagraphFont"/>
    <w:link w:val="Heading3"/>
    <w:uiPriority w:val="9"/>
    <w:rsid w:val="00FC693F"/>
    <w:rPr>
      <w:rFonts/>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Arial" w:hAnsi="Arial"/>
      <w:sz w:val="20"/>
      <w:szCs w:val="20"/>
    </w:rPr>
  </w:style>
  <w:style w:type="character" w:customStyle="1" w:styleId="MacroTextChar">
    <w:name w:val="Macro Text Char"/>
    <w:basedOn w:val="DefaultParagraphFont"/>
    <w:link w:val="MacroText"/>
    <w:uiPriority w:val="99"/>
    <w:rsid w:val="0029639D"/>
    <w:rPr>
      <w:rFonts w:ascii="Arial" w:hAnsi="Arial"/>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b/>
      <w:bCs/>
      <w:i/>
      <w:iCs/>
      <w:color w:val="4F81BD" w:themeColor="accent1"/>
    </w:rPr>
  </w:style>
  <w:style w:type="character" w:customStyle="1" w:styleId="Heading5Char">
    <w:name w:val="Heading 5 Char"/>
    <w:basedOn w:val="DefaultParagraphFont"/>
    <w:link w:val="Heading5"/>
    <w:uiPriority w:val="9"/>
    <w:semiHidden/>
    <w:rsid w:val="00FC693F"/>
    <w:rPr>
      <w:rFonts/>
      <w:color w:val="243F60" w:themeColor="accent1" w:themeShade="7F"/>
    </w:rPr>
  </w:style>
  <w:style w:type="character" w:customStyle="1" w:styleId="Heading6Char">
    <w:name w:val="Heading 6 Char"/>
    <w:basedOn w:val="DefaultParagraphFont"/>
    <w:link w:val="Heading6"/>
    <w:uiPriority w:val="9"/>
    <w:semiHidden/>
    <w:rsid w:val="00FC693F"/>
    <w:rPr>
      <w:rFonts/>
      <w:i/>
      <w:iCs/>
      <w:color w:val="243F60" w:themeColor="accent1" w:themeShade="7F"/>
    </w:rPr>
  </w:style>
  <w:style w:type="character" w:customStyle="1" w:styleId="Heading7Char">
    <w:name w:val="Heading 7 Char"/>
    <w:basedOn w:val="DefaultParagraphFont"/>
    <w:link w:val="Heading7"/>
    <w:uiPriority w:val="9"/>
    <w:semiHidden/>
    <w:rsid w:val="00FC693F"/>
    <w:rPr>
      <w:rFonts/>
      <w:i/>
      <w:iCs/>
      <w:color w:val="404040" w:themeColor="text1" w:themeTint="BF"/>
    </w:rPr>
  </w:style>
  <w:style w:type="character" w:customStyle="1" w:styleId="Heading8Char">
    <w:name w:val="Heading 8 Char"/>
    <w:basedOn w:val="DefaultParagraphFont"/>
    <w:link w:val="Heading8"/>
    <w:uiPriority w:val="9"/>
    <w:semiHidden/>
    <w:rsid w:val="00FC693F"/>
    <w:rPr>
      <w:rFonts/>
      <w:color w:val="4F81BD" w:themeColor="accent1"/>
      <w:sz w:val="20"/>
      <w:szCs w:val="20"/>
    </w:rPr>
  </w:style>
  <w:style w:type="character" w:customStyle="1" w:styleId="Heading9Char">
    <w:name w:val="Heading 9 Char"/>
    <w:basedOn w:val="DefaultParagraphFont"/>
    <w:link w:val="Heading9"/>
    <w:uiPriority w:val="9"/>
    <w:semiHidden/>
    <w:rsid w:val="00FC693F"/>
    <w:rPr>
      <w:rFonts/>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b/>
        <w:bCs/>
      </w:rPr>
    </w:tblStylePr>
    <w:tblStylePr w:type="lastCol">
      <w:rPr>
        <w:rFonts/>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b/>
        <w:bCs/>
      </w:rPr>
    </w:tblStylePr>
    <w:tblStylePr w:type="lastCol">
      <w:rPr>
        <w:rFonts/>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b/>
        <w:bCs/>
      </w:rPr>
    </w:tblStylePr>
    <w:tblStylePr w:type="lastCol">
      <w:rPr>
        <w:rFonts/>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b/>
        <w:bCs/>
      </w:rPr>
    </w:tblStylePr>
    <w:tblStylePr w:type="lastCol">
      <w:rPr>
        <w:rFonts/>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b/>
        <w:bCs/>
      </w:rPr>
    </w:tblStylePr>
    <w:tblStylePr w:type="lastCol">
      <w:rPr>
        <w:rFonts/>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b/>
        <w:bCs/>
      </w:rPr>
    </w:tblStylePr>
    <w:tblStylePr w:type="lastCol">
      <w:rPr>
        <w:rFonts/>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b/>
        <w:bCs/>
      </w:rPr>
    </w:tblStylePr>
    <w:tblStylePr w:type="lastCol">
      <w:rPr>
        <w:rFonts/>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jpg"/><Relationship Id="rId17" Type="http://schemas.openxmlformats.org/officeDocument/2006/relationships/image" Target="media/image5.jpg"/><Relationship Id="rId18" Type="http://schemas.openxmlformats.org/officeDocument/2006/relationships/image" Target="media/image6.jp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jpg"/><Relationship Id="rId24"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ajorFont>
      <a:minorFont>
        <a:latin typeface="Arial"/>
        <a:ea typeface="Arial"/>
        <a:cs typeface="Arial"/>
        <a:font script="Jpan" typeface="Arial"/>
        <a:font script="Hang" typeface="Arial"/>
        <a:font script="Hans" typeface="Arial"/>
        <a:font script="Hant" typeface="Arial"/>
        <a:font script="Arab" typeface="Arial"/>
        <a:font script="Hebr" typeface="Arial"/>
        <a:font script="Thai" typeface="Arial"/>
        <a:font script="Ethi" typeface="Arial"/>
        <a:font script="Beng" typeface="Arial"/>
        <a:font script="Gujr" typeface="Arial"/>
        <a:font script="Khmr" typeface="Arial"/>
        <a:font script="Knda" typeface="Arial"/>
        <a:font script="Guru" typeface="Arial"/>
        <a:font script="Cans" typeface="Arial"/>
        <a:font script="Cher" typeface="Arial"/>
        <a:font script="Yiii" typeface="Arial"/>
        <a:font script="Tibt" typeface="Arial"/>
        <a:font script="Thaa" typeface="Arial"/>
        <a:font script="Deva" typeface="Arial"/>
        <a:font script="Telu" typeface="Arial"/>
        <a:font script="Taml" typeface="Arial"/>
        <a:font script="Syrc" typeface="Arial"/>
        <a:font script="Orya" typeface="Arial"/>
        <a:font script="Mlym" typeface="Arial"/>
        <a:font script="Laoo" typeface="Arial"/>
        <a:font script="Sinh" typeface="Arial"/>
        <a:font script="Mong" typeface="Arial"/>
        <a:font script="Viet" typeface="Arial"/>
        <a:font script="Uigh" typeface="Arial"/>
        <a:font script="Geor" typeface="Arial"/>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صندوق الخبير للدخل المتنوع المتداول — البيان الربع سنوي الربع الأول 2022م</dc:title>
  <dc:subject/>
  <dc:creator>Alkhabeer Capital</dc:creator>
  <cp:keywords/>
  <dc:description>generated by python-docx</dc:description>
  <cp:lastModifiedBy/>
  <cp:revision>1</cp:revision>
  <dcterms:created xsi:type="dcterms:W3CDTF">2013-12-23T23:15:00Z</dcterms:created>
  <dcterms:modified xsi:type="dcterms:W3CDTF">2013-12-23T23:15:00Z</dcterms:modified>
  <cp:category/>
  <dc:language>ar-SA</dc:language>
</cp:coreProperties>
</file>