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2"/>
            <wp:cNvGraphicFramePr/>
            <a:graphic>
              <a:graphicData uri="http://schemas.openxmlformats.org/drawingml/2006/picture">
                <pic:pic>
                  <pic:nvPicPr>
                    <pic:cNvPr id="9022" name="banner902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2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(“the Fund”) is a closed-ended Shari’a-compliant investment traded fund established in accordance with the applicable laws and regulations of the Kingdom of Saudi Arabia and regulated by the Capital Market Authority (CMA). The Fund’s investment objective is to generate periodic income to investors by investing in Shari’a-compliant income generating assets. The Fund Manager “Alkhabeer Capital” plans to invest in Sukuk, trade finance transactions, leasing transactions,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4700</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AKDICIF:AB</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19 January 2021</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99 years, starting as from the Listing Date, renewable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9.9877</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589,443,119</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112,979,272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19.17%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23.92%</w:t>
            </w:r>
          </w:p>
        </w:tc>
      </w:tr>
      <w:tr>
        <w:tc>
          <w:tcPr>
            <w:tcW w:type="dxa" w:w="3118"/>
            <w:shd w:val="clear" w:color="auto" w:fill="F3F6FB"/>
          </w:tcPr>
          <w:p>
            <w:pPr>
              <w:spacing w:before="0" w:after="0" w:line="276" w:lineRule="auto"/>
            </w:pPr>
            <w:r>
              <w:rPr>
                <w:rFonts w:ascii="Arial" w:hAnsi="Arial" w:cs="Arial" w:eastAsia="Arial"/>
                <w:color w:val="5A6478"/>
                <w:sz w:val="18"/>
                <w:szCs w:val="18"/>
              </w:rPr>
              <w:t>VALUE AND PERCENTAGE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0.42%</w:t>
            </w:r>
          </w:p>
        </w:tc>
      </w:tr>
    </w:tbl>
    <w:p>
      <w:pPr>
        <w:spacing w:before="0" w:after="40" w:line="300" w:lineRule="auto"/>
      </w:pPr>
    </w:p>
    <w:p>
      <w:pPr>
        <w:spacing w:before="0" w:after="80" w:line="312" w:lineRule="auto"/>
      </w:pPr>
      <w:r>
        <w:rPr>
          <w:rFonts w:ascii="Arial" w:hAnsi="Arial" w:cs="Arial" w:eastAsia="Arial"/>
          <w:color w:val="5A6478"/>
          <w:sz w:val="17"/>
          <w:szCs w:val="17"/>
        </w:rPr>
        <w:t>* As at 31 March 2022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Quarterly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589,443,119</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472,231,297</w:t>
            </w:r>
          </w:p>
        </w:tc>
      </w:tr>
      <w:tr>
        <w:tc>
          <w:tcPr>
            <w:tcW w:type="dxa" w:w="3118"/>
            <w:shd w:val="clear" w:color="auto" w:fill="F3F6FB"/>
          </w:tcPr>
          <w:p>
            <w:pPr>
              <w:spacing w:before="0" w:after="0" w:line="276" w:lineRule="auto"/>
            </w:pPr>
            <w:r>
              <w:rPr>
                <w:rFonts w:ascii="Arial" w:hAnsi="Arial" w:cs="Arial" w:eastAsia="Arial"/>
                <w:color w:val="5A6478"/>
                <w:sz w:val="18"/>
                <w:szCs w:val="18"/>
              </w:rPr>
              <w:t>AMOUNT AND 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TO FUND’S TOTAL ASSET VALUE**</w:t>
            </w:r>
          </w:p>
        </w:tc>
        <w:tc>
          <w:tcPr>
            <w:tcW w:type="dxa" w:w="6860"/>
          </w:tcPr>
          <w:p>
            <w:pPr>
              <w:spacing w:before="0" w:after="0" w:line="276" w:lineRule="auto"/>
            </w:pPr>
            <w:r>
              <w:rPr>
                <w:rFonts w:ascii="Arial" w:hAnsi="Arial" w:cs="Arial" w:eastAsia="Arial"/>
                <w:b/>
                <w:bCs/>
                <w:color w:val="0E1E3A"/>
                <w:sz w:val="18"/>
                <w:szCs w:val="18"/>
              </w:rPr>
              <w:t>0.38%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TOTAL ASSET VALUE***</w:t>
            </w:r>
          </w:p>
        </w:tc>
        <w:tc>
          <w:tcPr>
            <w:tcW w:type="dxa" w:w="6860"/>
          </w:tcPr>
          <w:p>
            <w:pPr>
              <w:spacing w:before="0" w:after="0" w:line="276" w:lineRule="auto"/>
            </w:pPr>
            <w:r>
              <w:rPr>
                <w:rFonts w:ascii="Arial" w:hAnsi="Arial" w:cs="Arial" w:eastAsia="Arial"/>
                <w:b/>
                <w:bCs/>
                <w:color w:val="0E1E3A"/>
                <w:sz w:val="18"/>
                <w:szCs w:val="18"/>
              </w:rPr>
              <w:t>0.47%</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COSTS TO FUND’S AVERAGE NET ASSET VALUE***</w:t>
            </w:r>
          </w:p>
        </w:tc>
        <w:tc>
          <w:tcPr>
            <w:tcW w:type="dxa" w:w="6860"/>
          </w:tcPr>
          <w:p>
            <w:pPr>
              <w:spacing w:before="0" w:after="0" w:line="276" w:lineRule="auto"/>
            </w:pPr>
            <w:r>
              <w:rPr>
                <w:rFonts w:ascii="Arial" w:hAnsi="Arial" w:cs="Arial" w:eastAsia="Arial"/>
                <w:b/>
                <w:bCs/>
                <w:color w:val="0E1E3A"/>
                <w:sz w:val="18"/>
                <w:szCs w:val="18"/>
              </w:rPr>
              <w:t>0.58%</w:t>
            </w:r>
          </w:p>
        </w:tc>
      </w:tr>
      <w:tr>
        <w:tc>
          <w:tcPr>
            <w:tcW w:type="dxa" w:w="3118"/>
            <w:shd w:val="clear" w:color="auto" w:fill="F3F6FB"/>
          </w:tcPr>
          <w:p>
            <w:pPr>
              <w:spacing w:before="0" w:after="0" w:line="276" w:lineRule="auto"/>
            </w:pPr>
            <w:r>
              <w:rPr>
                <w:rFonts w:ascii="Arial" w:hAnsi="Arial" w:cs="Arial" w:eastAsia="Arial"/>
                <w:color w:val="5A6478"/>
                <w:sz w:val="18"/>
                <w:szCs w:val="18"/>
              </w:rPr>
              <w:t>TOTAL EXPENSES, COSTS AND FEES FOR THE REPORTING QUARTER</w:t>
            </w:r>
          </w:p>
        </w:tc>
        <w:tc>
          <w:tcPr>
            <w:tcW w:type="dxa" w:w="6860"/>
          </w:tcPr>
          <w:p>
            <w:pPr>
              <w:spacing w:before="0" w:after="0" w:line="276" w:lineRule="auto"/>
            </w:pPr>
            <w:r>
              <w:rPr>
                <w:rFonts w:ascii="Arial" w:hAnsi="Arial" w:cs="Arial" w:eastAsia="Arial"/>
                <w:b/>
                <w:bCs/>
                <w:color w:val="0E1E3A"/>
                <w:sz w:val="18"/>
                <w:szCs w:val="18"/>
              </w:rPr>
              <w:t>SAR 2,741,443</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EXPENSES AND FEES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0.48%</w:t>
            </w:r>
          </w:p>
        </w:tc>
      </w:tr>
    </w:tbl>
    <w:p>
      <w:pPr>
        <w:spacing w:before="0" w:after="40" w:line="300" w:lineRule="auto"/>
      </w:pPr>
    </w:p>
    <w:p>
      <w:pPr>
        <w:spacing w:before="0" w:after="80" w:line="312" w:lineRule="auto"/>
      </w:pPr>
      <w:r>
        <w:rPr>
          <w:rFonts w:ascii="Arial" w:hAnsi="Arial" w:cs="Arial" w:eastAsia="Arial"/>
          <w:color w:val="5A6478"/>
          <w:sz w:val="17"/>
          <w:szCs w:val="17"/>
        </w:rPr>
        <w:t>* As at 31 March 2022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costs are all Fund fees and expenses, including financing costs.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5" name="Picture 902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w:t>
      </w:r>
    </w:p>
    <w:p>
      <w:pPr>
        <w:spacing w:before="0" w:after="80" w:line="240" w:lineRule="auto"/>
        <w:jc w:val="center"/>
      </w:pPr>
      <w:r>
        <w:drawing>
          <wp:inline xmlns:a="http://schemas.openxmlformats.org/drawingml/2006/main" xmlns:pic="http://schemas.openxmlformats.org/drawingml/2006/picture">
            <wp:extent cx="6336000" cy="1836108"/>
            <wp:docPr id="6" name="Picture 9027"/>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 The graph shows the largest investments in the Fund and the sectoral distribution of investments together.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2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99,860,580</w:t>
            </w:r>
          </w:p>
        </w:tc>
      </w:tr>
      <w:tr>
        <w:tc>
          <w:tcPr>
            <w:tcW w:type="dxa" w:w="3118"/>
            <w:shd w:val="clear" w:color="auto" w:fill="F3F6FB"/>
          </w:tcPr>
          <w:p>
            <w:pPr>
              <w:spacing w:before="0" w:after="0" w:line="276" w:lineRule="auto"/>
            </w:pPr>
            <w:r>
              <w:rPr>
                <w:rFonts w:ascii="Arial" w:hAnsi="Arial" w:cs="Arial" w:eastAsia="Arial"/>
                <w:color w:val="5A6478"/>
                <w:sz w:val="18"/>
                <w:szCs w:val="18"/>
              </w:rPr>
              <w:t>LEASING PORTFOLIO TOTAL VALUE</w:t>
            </w:r>
          </w:p>
        </w:tc>
        <w:tc>
          <w:tcPr>
            <w:tcW w:type="dxa" w:w="6860"/>
          </w:tcPr>
          <w:p>
            <w:pPr>
              <w:spacing w:before="0" w:after="0" w:line="276" w:lineRule="auto"/>
            </w:pPr>
            <w:r>
              <w:rPr>
                <w:rFonts w:ascii="Arial" w:hAnsi="Arial" w:cs="Arial" w:eastAsia="Arial"/>
                <w:b/>
                <w:bCs/>
                <w:color w:val="0E1E3A"/>
                <w:sz w:val="18"/>
                <w:szCs w:val="18"/>
              </w:rPr>
              <w:t>SAR 216,161,947</w:t>
            </w:r>
          </w:p>
        </w:tc>
      </w:tr>
      <w:tr>
        <w:tc>
          <w:tcPr>
            <w:tcW w:type="dxa" w:w="3118"/>
            <w:shd w:val="clear" w:color="auto" w:fill="F3F6FB"/>
          </w:tcPr>
          <w:p>
            <w:pPr>
              <w:spacing w:before="0" w:after="0" w:line="276" w:lineRule="auto"/>
            </w:pPr>
            <w:r>
              <w:rPr>
                <w:rFonts w:ascii="Arial" w:hAnsi="Arial" w:cs="Arial" w:eastAsia="Arial"/>
                <w:color w:val="5A6478"/>
                <w:sz w:val="18"/>
                <w:szCs w:val="18"/>
              </w:rPr>
              <w:t>SUKUK PORTFOLIO TOTAL VALUE</w:t>
            </w:r>
          </w:p>
        </w:tc>
        <w:tc>
          <w:tcPr>
            <w:tcW w:type="dxa" w:w="6860"/>
          </w:tcPr>
          <w:p>
            <w:pPr>
              <w:spacing w:before="0" w:after="0" w:line="276" w:lineRule="auto"/>
            </w:pPr>
            <w:r>
              <w:rPr>
                <w:rFonts w:ascii="Arial" w:hAnsi="Arial" w:cs="Arial" w:eastAsia="Arial"/>
                <w:b/>
                <w:bCs/>
                <w:color w:val="0E1E3A"/>
                <w:sz w:val="18"/>
                <w:szCs w:val="18"/>
              </w:rPr>
              <w:t>SAR 77,423,435</w:t>
            </w:r>
          </w:p>
        </w:tc>
      </w:tr>
      <w:tr>
        <w:tc>
          <w:tcPr>
            <w:tcW w:type="dxa" w:w="3118"/>
            <w:shd w:val="clear" w:color="auto" w:fill="F3F6FB"/>
          </w:tcPr>
          <w:p>
            <w:pPr>
              <w:spacing w:before="0" w:after="0" w:line="276" w:lineRule="auto"/>
            </w:pPr>
            <w:r>
              <w:rPr>
                <w:rFonts w:ascii="Arial" w:hAnsi="Arial" w:cs="Arial" w:eastAsia="Arial"/>
                <w:color w:val="5A6478"/>
                <w:sz w:val="18"/>
                <w:szCs w:val="18"/>
              </w:rPr>
              <w:t>INCOME FUNDS PORTFOLIO TOTAL VALUE</w:t>
            </w:r>
          </w:p>
        </w:tc>
        <w:tc>
          <w:tcPr>
            <w:tcW w:type="dxa" w:w="6860"/>
          </w:tcPr>
          <w:p>
            <w:pPr>
              <w:spacing w:before="0" w:after="0" w:line="276" w:lineRule="auto"/>
            </w:pPr>
            <w:r>
              <w:rPr>
                <w:rFonts w:ascii="Arial" w:hAnsi="Arial" w:cs="Arial" w:eastAsia="Arial"/>
                <w:b/>
                <w:bCs/>
                <w:color w:val="0E1E3A"/>
                <w:sz w:val="18"/>
                <w:szCs w:val="18"/>
              </w:rPr>
              <w:t>SAR 139,154,137</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56,843,021</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0" name="Picture 9031"/>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68216"/>
            <wp:docPr id="11" name="Picture 9032"/>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2968216"/>
                    </a:xfrm>
                    <a:prstGeom prst="rect"/>
                  </pic:spPr>
                </pic:pic>
              </a:graphicData>
            </a:graphic>
          </wp:inline>
        </w:drawing>
      </w: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472,814,700</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2021</w:t>
            </w:r>
          </w:p>
        </w:tc>
        <w:tc>
          <w:tcPr>
            <w:tcW w:type="dxa" w:w="6860"/>
          </w:tcPr>
          <w:p>
            <w:pPr>
              <w:spacing w:before="0" w:after="0" w:line="276" w:lineRule="auto"/>
            </w:pPr>
            <w:r>
              <w:rPr>
                <w:rFonts w:ascii="Arial" w:hAnsi="Arial" w:cs="Arial" w:eastAsia="Arial"/>
                <w:b/>
                <w:bCs/>
                <w:color w:val="0E1E3A"/>
                <w:sz w:val="18"/>
                <w:szCs w:val="18"/>
              </w:rPr>
              <w:t>SAR 428,370,118</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JUNE 2021</w:t>
            </w:r>
          </w:p>
        </w:tc>
        <w:tc>
          <w:tcPr>
            <w:tcW w:type="dxa" w:w="6860"/>
          </w:tcPr>
          <w:p>
            <w:pPr>
              <w:spacing w:before="0" w:after="0" w:line="276" w:lineRule="auto"/>
            </w:pPr>
            <w:r>
              <w:rPr>
                <w:rFonts w:ascii="Arial" w:hAnsi="Arial" w:cs="Arial" w:eastAsia="Arial"/>
                <w:b/>
                <w:bCs/>
                <w:color w:val="0E1E3A"/>
                <w:sz w:val="18"/>
                <w:szCs w:val="18"/>
              </w:rPr>
              <w:t>SAR 433,098,265</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2021</w:t>
            </w:r>
          </w:p>
        </w:tc>
        <w:tc>
          <w:tcPr>
            <w:tcW w:type="dxa" w:w="6860"/>
          </w:tcPr>
          <w:p>
            <w:pPr>
              <w:spacing w:before="0" w:after="0" w:line="276" w:lineRule="auto"/>
            </w:pPr>
            <w:r>
              <w:rPr>
                <w:rFonts w:ascii="Arial" w:hAnsi="Arial" w:cs="Arial" w:eastAsia="Arial"/>
                <w:b/>
                <w:bCs/>
                <w:color w:val="0E1E3A"/>
                <w:sz w:val="18"/>
                <w:szCs w:val="18"/>
              </w:rPr>
              <w:t>SAR 427,897,304</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DECEMBER 2021</w:t>
            </w:r>
          </w:p>
        </w:tc>
        <w:tc>
          <w:tcPr>
            <w:tcW w:type="dxa" w:w="6860"/>
          </w:tcPr>
          <w:p>
            <w:pPr>
              <w:spacing w:before="0" w:after="0" w:line="276" w:lineRule="auto"/>
            </w:pPr>
            <w:r>
              <w:rPr>
                <w:rFonts w:ascii="Arial" w:hAnsi="Arial" w:cs="Arial" w:eastAsia="Arial"/>
                <w:b/>
                <w:bCs/>
                <w:color w:val="0E1E3A"/>
                <w:sz w:val="18"/>
                <w:szCs w:val="18"/>
              </w:rPr>
              <w:t>SAR 409,930,345</w:t>
            </w:r>
          </w:p>
        </w:tc>
      </w:tr>
      <w:tr>
        <w:tc>
          <w:tcPr>
            <w:tcW w:type="dxa" w:w="3118"/>
            <w:shd w:val="clear" w:color="auto" w:fill="F3F6FB"/>
          </w:tcPr>
          <w:p>
            <w:pPr>
              <w:spacing w:before="0" w:after="0" w:line="276" w:lineRule="auto"/>
            </w:pPr>
            <w:r>
              <w:rPr>
                <w:rFonts w:ascii="Arial" w:hAnsi="Arial" w:cs="Arial" w:eastAsia="Arial"/>
                <w:color w:val="5A6478"/>
                <w:sz w:val="18"/>
                <w:szCs w:val="18"/>
              </w:rPr>
              <w:t>AS AT 31 MARCH 2022</w:t>
            </w:r>
          </w:p>
        </w:tc>
        <w:tc>
          <w:tcPr>
            <w:tcW w:type="dxa" w:w="6860"/>
          </w:tcPr>
          <w:p>
            <w:pPr>
              <w:spacing w:before="0" w:after="0" w:line="276" w:lineRule="auto"/>
            </w:pPr>
            <w:r>
              <w:rPr>
                <w:rFonts w:ascii="Arial" w:hAnsi="Arial" w:cs="Arial" w:eastAsia="Arial"/>
                <w:b/>
                <w:bCs/>
                <w:color w:val="0E1E3A"/>
                <w:sz w:val="18"/>
                <w:szCs w:val="18"/>
              </w:rPr>
              <w:t>SAR 402,838,124</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Q1 (31 MARCH 2022)</w:t>
            </w:r>
          </w:p>
        </w:tc>
        <w:tc>
          <w:tcPr>
            <w:tcW w:type="dxa" w:w="6860"/>
          </w:tcPr>
          <w:p>
            <w:pPr>
              <w:spacing w:before="0" w:after="0" w:line="276" w:lineRule="auto"/>
            </w:pPr>
            <w:r>
              <w:rPr>
                <w:rFonts w:ascii="Arial" w:hAnsi="Arial" w:cs="Arial" w:eastAsia="Arial"/>
                <w:b/>
                <w:bCs/>
                <w:color w:val="0E1E3A"/>
                <w:sz w:val="18"/>
                <w:szCs w:val="18"/>
              </w:rPr>
              <w:t>SAR 8.52</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DURING THE CURRENT QUARTER (FROM 31 DECEMBER 2021 TO 31 MARCH 2022)*</w:t>
            </w:r>
          </w:p>
        </w:tc>
        <w:tc>
          <w:tcPr>
            <w:tcW w:type="dxa" w:w="6860"/>
          </w:tcPr>
          <w:p>
            <w:pPr>
              <w:spacing w:before="0" w:after="0" w:line="276" w:lineRule="auto"/>
            </w:pPr>
            <w:r>
              <w:rPr>
                <w:rFonts w:ascii="Arial" w:hAnsi="Arial" w:cs="Arial" w:eastAsia="Arial"/>
                <w:b/>
                <w:bCs/>
                <w:color w:val="0E1E3A"/>
                <w:sz w:val="18"/>
                <w:szCs w:val="18"/>
              </w:rPr>
              <w:t>-1.73%</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Q1 2022)</w:t>
            </w:r>
          </w:p>
        </w:tc>
        <w:tc>
          <w:tcPr>
            <w:tcW w:type="dxa" w:w="6860"/>
          </w:tcPr>
          <w:p>
            <w:pPr>
              <w:spacing w:before="0" w:after="0" w:line="276" w:lineRule="auto"/>
            </w:pPr>
            <w:r>
              <w:rPr>
                <w:rFonts w:ascii="Arial" w:hAnsi="Arial" w:cs="Arial" w:eastAsia="Arial"/>
                <w:b/>
                <w:bCs/>
                <w:color w:val="0E1E3A"/>
                <w:sz w:val="18"/>
                <w:szCs w:val="18"/>
              </w:rPr>
              <w:t>-14.80%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9.44</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8.52</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47,281,470 Units</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31 December 2021 = SAR 8.67.</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4" name="Picture 9035"/>
            <wp:cNvGraphicFramePr>
              <a:graphicFrameLocks noChangeAspect="1"/>
            </wp:cNvGraphicFramePr>
            <a:graphic>
              <a:graphicData uri="http://schemas.openxmlformats.org/drawingml/2006/picture">
                <pic:pic>
                  <pic:nvPicPr>
                    <pic:cNvPr id="0" name="ico_737e94dc9d8d67dbf235ae564951a5f7.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DIVIDEND DISTRIBUTION POLICY</w:t>
            </w:r>
          </w:p>
        </w:tc>
        <w:tc>
          <w:tcPr>
            <w:tcW w:type="dxa" w:w="6860"/>
          </w:tcPr>
          <w:p>
            <w:pPr>
              <w:spacing w:before="0" w:after="0" w:line="276" w:lineRule="auto"/>
            </w:pPr>
            <w:r>
              <w:rPr>
                <w:rFonts w:ascii="Arial" w:hAnsi="Arial" w:cs="Arial" w:eastAsia="Arial"/>
                <w:b/>
                <w:bCs/>
                <w:color w:val="0E1E3A"/>
                <w:sz w:val="18"/>
                <w:szCs w:val="18"/>
              </w:rPr>
              <w:t>The Fund Manager will distribute 100% of the semi-annual profits received from the returns on the Fund's investments after deducting the expenses from the Unitholders twice a year, provided distributions are made during the months of August and February annually.</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IN THE REPORTING QUARTER*</w:t>
            </w:r>
          </w:p>
        </w:tc>
        <w:tc>
          <w:tcPr>
            <w:tcW w:type="dxa" w:w="6860"/>
          </w:tcPr>
          <w:p>
            <w:pPr>
              <w:spacing w:before="0" w:after="0" w:line="276" w:lineRule="auto"/>
            </w:pPr>
            <w:r>
              <w:rPr>
                <w:rFonts w:ascii="Arial" w:hAnsi="Arial" w:cs="Arial" w:eastAsia="Arial"/>
                <w:b/>
                <w:bCs/>
                <w:color w:val="0E1E3A"/>
                <w:sz w:val="18"/>
                <w:szCs w:val="18"/>
              </w:rPr>
              <w:t>SAR 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11,820,368</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0.25</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TO INITIAL UNIT PRICE</w:t>
            </w:r>
          </w:p>
        </w:tc>
        <w:tc>
          <w:tcPr>
            <w:tcW w:type="dxa" w:w="6860"/>
          </w:tcPr>
          <w:p>
            <w:pPr>
              <w:spacing w:before="0" w:after="0" w:line="276" w:lineRule="auto"/>
            </w:pPr>
            <w:r>
              <w:rPr>
                <w:rFonts w:ascii="Arial" w:hAnsi="Arial" w:cs="Arial" w:eastAsia="Arial"/>
                <w:b/>
                <w:bCs/>
                <w:color w:val="0E1E3A"/>
                <w:sz w:val="18"/>
                <w:szCs w:val="18"/>
              </w:rPr>
              <w:t>2.50%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ON UNIT PRICE***</w:t>
            </w:r>
          </w:p>
        </w:tc>
        <w:tc>
          <w:tcPr>
            <w:tcW w:type="dxa" w:w="6860"/>
          </w:tcPr>
          <w:p>
            <w:pPr>
              <w:spacing w:before="0" w:after="0" w:line="276" w:lineRule="auto"/>
            </w:pPr>
            <w:r>
              <w:rPr>
                <w:rFonts w:ascii="Arial" w:hAnsi="Arial" w:cs="Arial" w:eastAsia="Arial"/>
                <w:b/>
                <w:bCs/>
                <w:color w:val="0E1E3A"/>
                <w:sz w:val="18"/>
                <w:szCs w:val="18"/>
              </w:rPr>
              <w:t>2.93%</w:t>
            </w:r>
          </w:p>
        </w:tc>
      </w:tr>
      <w:tr>
        <w:tc>
          <w:tcPr>
            <w:tcW w:type="dxa" w:w="3118"/>
            <w:shd w:val="clear" w:color="auto" w:fill="F3F6FB"/>
          </w:tcPr>
          <w:p>
            <w:pPr>
              <w:spacing w:before="0" w:after="0" w:line="276" w:lineRule="auto"/>
            </w:pPr>
            <w:r>
              <w:rPr>
                <w:rFonts w:ascii="Arial" w:hAnsi="Arial" w:cs="Arial" w:eastAsia="Arial"/>
                <w:color w:val="5A6478"/>
                <w:sz w:val="18"/>
                <w:szCs w:val="18"/>
              </w:rPr>
              <w:t>GROSS INCOME FOR THE REPORTING QUARTER*</w:t>
            </w:r>
          </w:p>
        </w:tc>
        <w:tc>
          <w:tcPr>
            <w:tcW w:type="dxa" w:w="6860"/>
          </w:tcPr>
          <w:p>
            <w:pPr>
              <w:spacing w:before="0" w:after="0" w:line="276" w:lineRule="auto"/>
            </w:pPr>
            <w:r>
              <w:rPr>
                <w:rFonts w:ascii="Arial" w:hAnsi="Arial" w:cs="Arial" w:eastAsia="Arial"/>
                <w:b/>
                <w:bCs/>
                <w:color w:val="0E1E3A"/>
                <w:sz w:val="18"/>
                <w:szCs w:val="18"/>
              </w:rPr>
              <w:t>SAR 2,323,405</w:t>
            </w:r>
          </w:p>
        </w:tc>
      </w:tr>
      <w:tr>
        <w:tc>
          <w:tcPr>
            <w:tcW w:type="dxa" w:w="3118"/>
            <w:shd w:val="clear" w:color="auto" w:fill="F3F6FB"/>
          </w:tcPr>
          <w:p>
            <w:pPr>
              <w:spacing w:before="0" w:after="0" w:line="276" w:lineRule="auto"/>
            </w:pPr>
            <w:r>
              <w:rPr>
                <w:rFonts w:ascii="Arial" w:hAnsi="Arial" w:cs="Arial" w:eastAsia="Arial"/>
                <w:color w:val="5A6478"/>
                <w:sz w:val="18"/>
                <w:szCs w:val="18"/>
              </w:rPr>
              <w:t>INCOME FOR THE REPORTING QUARTER ON UNIT PRICE (31 MARCH 2022)</w:t>
            </w:r>
          </w:p>
        </w:tc>
        <w:tc>
          <w:tcPr>
            <w:tcW w:type="dxa" w:w="6860"/>
          </w:tcPr>
          <w:p>
            <w:pPr>
              <w:spacing w:before="0" w:after="0" w:line="276" w:lineRule="auto"/>
            </w:pPr>
            <w:r>
              <w:rPr>
                <w:rFonts w:ascii="Arial" w:hAnsi="Arial" w:cs="Arial" w:eastAsia="Arial"/>
                <w:b/>
                <w:bCs/>
                <w:color w:val="0E1E3A"/>
                <w:sz w:val="18"/>
                <w:szCs w:val="18"/>
              </w:rPr>
              <w:t>0.58%</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2022 to 31 March 2022</w:t>
      </w:r>
      <w:r>
        <w:br/>
      </w:r>
      <w:r>
        <w:rPr>
          <w:rFonts w:ascii="Arial" w:hAnsi="Arial" w:cs="Arial" w:eastAsia="Arial"/>
          <w:color w:val="5A6478"/>
          <w:sz w:val="17"/>
          <w:szCs w:val="17"/>
        </w:rPr>
        <w:t>** For the period from 1 July 2021 to 31 December 2021</w:t>
      </w:r>
      <w:r>
        <w:br/>
      </w:r>
      <w:r>
        <w:rPr>
          <w:rFonts w:ascii="Arial" w:hAnsi="Arial" w:cs="Arial" w:eastAsia="Arial"/>
          <w:color w:val="5A6478"/>
          <w:sz w:val="17"/>
          <w:szCs w:val="17"/>
        </w:rPr>
        <w:t>*** Unit Price as at 31 December 2021 = SAR 8.67.</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36"/>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12M LIBOR + 300 bps</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-1.73%</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-14.80%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-10.50%</w:t>
            </w:r>
          </w:p>
        </w:tc>
      </w:tr>
    </w:tbl>
    <w:p>
      <w:pPr>
        <w:spacing w:before="0" w:after="40" w:line="300" w:lineRule="auto"/>
      </w:pPr>
    </w:p>
    <w:p>
      <w:pPr>
        <w:spacing w:before="0" w:after="80" w:line="312" w:lineRule="auto"/>
      </w:pPr>
      <w:r>
        <w:rPr>
          <w:rFonts w:ascii="Arial" w:hAnsi="Arial" w:cs="Arial" w:eastAsia="Arial"/>
          <w:color w:val="5A6478"/>
          <w:sz w:val="17"/>
          <w:szCs w:val="17"/>
        </w:rPr>
        <w:t>* From end Q4 2021 to end Q1 2022.</w:t>
      </w:r>
      <w:r>
        <w:br/>
      </w:r>
      <w:r>
        <w:rPr>
          <w:rFonts w:ascii="Arial" w:hAnsi="Arial" w:cs="Arial" w:eastAsia="Arial"/>
          <w:color w:val="5A6478"/>
          <w:sz w:val="17"/>
          <w:szCs w:val="17"/>
        </w:rPr>
        <w:t>** From the Fund’s Date of Inception to end Q1 2022.</w:t>
      </w:r>
      <w:r>
        <w:br/>
      </w:r>
      <w:r>
        <w:rPr>
          <w:rFonts w:ascii="Arial" w:hAnsi="Arial" w:cs="Arial" w:eastAsia="Arial"/>
          <w:color w:val="5A6478"/>
          <w:sz w:val="17"/>
          <w:szCs w:val="17"/>
        </w:rPr>
        <w:t>*** Total Return = Unit Price Performance + Total Dividend Distributions (if any).</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performance benchmark is “Alkhabeer Income Generating Asset Index”. a composite index comprised of Ideal Ratings Saudi REITs Index, which contributes a weight of 75%, and Ideal Ratings Global Sukuk Index, which contributes a weight of 25%. The Index is used for benchmarking the Fund’s performance to the performance of the Benchmark. The Benchmark data service is provided by Ideal Ratings.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r>
              <w:rPr>
                <w:rFonts w:ascii="Arial" w:hAnsi="Arial" w:cs="Arial" w:eastAsia="Arial"/>
                <w:b/>
                <w:bCs/>
                <w:color w:val="FFFFFF"/>
                <w:sz w:val="17"/>
                <w:szCs w:val="17"/>
              </w:rPr>
              <w:t>12M LIBOR + 300 BPS</w:t>
            </w: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10.2465</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9.9877</w:t>
            </w:r>
          </w:p>
        </w:tc>
        <w:tc>
          <w:tcPr>
            <w:tcW w:type="dxa" w:w="3326"/>
          </w:tcPr>
          <w:p>
            <w:pPr>
              <w:spacing w:before="0" w:after="0" w:line="264" w:lineRule="auto"/>
            </w:pPr>
            <w:r>
              <w:rPr>
                <w:rFonts w:ascii="Arial" w:hAnsi="Arial" w:cs="Arial" w:eastAsia="Arial"/>
                <w:color w:val="0E1E3A"/>
                <w:sz w:val="17"/>
                <w:szCs w:val="17"/>
              </w:rPr>
              <w:t>NOT APPLICABLE</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-2.53%</w:t>
            </w:r>
          </w:p>
        </w:tc>
        <w:tc>
          <w:tcPr>
            <w:tcW w:type="dxa" w:w="3326"/>
          </w:tcPr>
          <w:p>
            <w:pPr>
              <w:spacing w:before="0" w:after="0" w:line="264" w:lineRule="auto"/>
            </w:pPr>
            <w:r>
              <w:rPr>
                <w:rFonts w:ascii="Arial" w:hAnsi="Arial" w:cs="Arial" w:eastAsia="Arial"/>
                <w:color w:val="0E1E3A"/>
                <w:sz w:val="17"/>
                <w:szCs w:val="17"/>
              </w:rPr>
              <w:t>1.05%***</w:t>
            </w:r>
          </w:p>
        </w:tc>
      </w:tr>
    </w:tbl>
    <w:p>
      <w:pPr>
        <w:spacing w:before="0" w:after="40" w:line="300" w:lineRule="auto"/>
      </w:pPr>
    </w:p>
    <w:p>
      <w:pPr>
        <w:spacing w:before="0" w:after="80" w:line="312" w:lineRule="auto"/>
      </w:pPr>
      <w:r>
        <w:rPr>
          <w:rFonts w:ascii="Arial" w:hAnsi="Arial" w:cs="Arial" w:eastAsia="Arial"/>
          <w:color w:val="5A6478"/>
          <w:sz w:val="17"/>
          <w:szCs w:val="17"/>
        </w:rPr>
        <w:t>* As at 31 December 2021.</w:t>
      </w:r>
      <w:r>
        <w:br/>
      </w:r>
      <w:r>
        <w:rPr>
          <w:rFonts w:ascii="Arial" w:hAnsi="Arial" w:cs="Arial" w:eastAsia="Arial"/>
          <w:color w:val="5A6478"/>
          <w:sz w:val="17"/>
          <w:szCs w:val="17"/>
        </w:rPr>
        <w:t>** As at 31 March 2022.</w:t>
      </w:r>
      <w:r>
        <w:br/>
      </w:r>
      <w:r>
        <w:rPr>
          <w:rFonts w:ascii="Arial" w:hAnsi="Arial" w:cs="Arial" w:eastAsia="Arial"/>
          <w:color w:val="5A6478"/>
          <w:sz w:val="17"/>
          <w:szCs w:val="17"/>
        </w:rPr>
        <w:t>*** Benchmark average return is 4.25% annually, which is equivalent to a return of 1.05% for the relevant quarter.</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ITEM</w:t>
            </w:r>
          </w:p>
        </w:tc>
        <w:tc>
          <w:tcPr>
            <w:tcW w:type="dxa" w:w="2494"/>
            <w:shd w:val="clear" w:color="auto" w:fill="12284B"/>
          </w:tcPr>
          <w:p>
            <w:pPr>
              <w:spacing w:before="0" w:after="0" w:line="264" w:lineRule="auto"/>
            </w:pPr>
            <w:r>
              <w:rPr>
                <w:rFonts w:ascii="Arial" w:hAnsi="Arial" w:cs="Arial" w:eastAsia="Arial"/>
                <w:b/>
                <w:bCs/>
                <w:color w:val="FFFFFF"/>
                <w:sz w:val="17"/>
                <w:szCs w:val="17"/>
              </w:rPr>
              <w:t>3 MONTHS</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31 MARCH 2022</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TOTAL RETURN FOR NAV/UNIT</w:t>
            </w:r>
          </w:p>
        </w:tc>
        <w:tc>
          <w:tcPr>
            <w:tcW w:type="dxa" w:w="2494"/>
          </w:tcPr>
          <w:p>
            <w:pPr>
              <w:spacing w:before="0" w:after="0" w:line="264" w:lineRule="auto"/>
            </w:pPr>
            <w:r>
              <w:rPr>
                <w:rFonts w:ascii="Arial" w:hAnsi="Arial" w:cs="Arial" w:eastAsia="Arial"/>
                <w:color w:val="0E1E3A"/>
                <w:sz w:val="17"/>
                <w:szCs w:val="17"/>
              </w:rPr>
              <w:t>-0.09%*</w:t>
            </w:r>
          </w:p>
        </w:tc>
        <w:tc>
          <w:tcPr>
            <w:tcW w:type="dxa" w:w="2494"/>
          </w:tcPr>
          <w:p>
            <w:pPr>
              <w:spacing w:before="0" w:after="0" w:line="264" w:lineRule="auto"/>
            </w:pPr>
            <w:r>
              <w:rPr>
                <w:rFonts w:ascii="Arial" w:hAnsi="Arial" w:cs="Arial" w:eastAsia="Arial"/>
                <w:color w:val="0E1E3A"/>
                <w:sz w:val="17"/>
                <w:szCs w:val="17"/>
              </w:rPr>
              <w:t>-0.09%**</w:t>
            </w:r>
          </w:p>
        </w:tc>
        <w:tc>
          <w:tcPr>
            <w:tcW w:type="dxa" w:w="2494"/>
          </w:tcPr>
          <w:p>
            <w:pPr>
              <w:spacing w:before="0" w:after="0" w:line="264" w:lineRule="auto"/>
            </w:pPr>
            <w:r>
              <w:rPr>
                <w:rFonts w:ascii="Arial" w:hAnsi="Arial" w:cs="Arial" w:eastAsia="Arial"/>
                <w:color w:val="0E1E3A"/>
                <w:sz w:val="17"/>
                <w:szCs w:val="17"/>
              </w:rPr>
              <w:t>4.67%***</w:t>
            </w:r>
          </w:p>
        </w:tc>
      </w:tr>
      <w:tr>
        <w:tc>
          <w:tcPr>
            <w:tcW w:type="dxa" w:w="2494"/>
          </w:tcPr>
          <w:p>
            <w:pPr>
              <w:spacing w:before="0" w:after="0" w:line="264" w:lineRule="auto"/>
            </w:pPr>
            <w:r>
              <w:rPr>
                <w:rFonts w:ascii="Arial" w:hAnsi="Arial" w:cs="Arial" w:eastAsia="Arial"/>
                <w:color w:val="0E1E3A"/>
                <w:sz w:val="17"/>
                <w:szCs w:val="17"/>
              </w:rPr>
              <w:t>BENCHMARK PERFORMANCE</w:t>
            </w:r>
          </w:p>
        </w:tc>
        <w:tc>
          <w:tcPr>
            <w:tcW w:type="dxa" w:w="2494"/>
          </w:tcPr>
          <w:p>
            <w:pPr>
              <w:spacing w:before="0" w:after="0" w:line="264" w:lineRule="auto"/>
            </w:pPr>
            <w:r>
              <w:rPr>
                <w:rFonts w:ascii="Arial" w:hAnsi="Arial" w:cs="Arial" w:eastAsia="Arial"/>
                <w:color w:val="0E1E3A"/>
                <w:sz w:val="17"/>
                <w:szCs w:val="17"/>
              </w:rPr>
              <w:t>1.05%</w:t>
            </w:r>
          </w:p>
        </w:tc>
        <w:tc>
          <w:tcPr>
            <w:tcW w:type="dxa" w:w="2494"/>
          </w:tcPr>
          <w:p>
            <w:pPr>
              <w:spacing w:before="0" w:after="0" w:line="264" w:lineRule="auto"/>
            </w:pPr>
            <w:r>
              <w:rPr>
                <w:rFonts w:ascii="Arial" w:hAnsi="Arial" w:cs="Arial" w:eastAsia="Arial"/>
                <w:color w:val="0E1E3A"/>
                <w:sz w:val="17"/>
                <w:szCs w:val="17"/>
              </w:rPr>
              <w:t>1.05%</w:t>
            </w:r>
          </w:p>
        </w:tc>
        <w:tc>
          <w:tcPr>
            <w:tcW w:type="dxa" w:w="2494"/>
          </w:tcPr>
          <w:p>
            <w:pPr>
              <w:spacing w:before="0" w:after="0" w:line="264" w:lineRule="auto"/>
            </w:pPr>
            <w:r>
              <w:rPr>
                <w:rFonts w:ascii="Arial" w:hAnsi="Arial" w:cs="Arial" w:eastAsia="Arial"/>
                <w:color w:val="0E1E3A"/>
                <w:sz w:val="17"/>
                <w:szCs w:val="17"/>
              </w:rPr>
              <w:t>3.53%</w:t>
            </w:r>
          </w:p>
        </w:tc>
      </w:tr>
      <w:tr>
        <w:tc>
          <w:tcPr>
            <w:tcW w:type="dxa" w:w="2494"/>
          </w:tcPr>
          <w:p>
            <w:pPr>
              <w:spacing w:before="0" w:after="0" w:line="264" w:lineRule="auto"/>
            </w:pPr>
            <w:r>
              <w:rPr>
                <w:rFonts w:ascii="Arial" w:hAnsi="Arial" w:cs="Arial" w:eastAsia="Arial"/>
                <w:color w:val="0E1E3A"/>
                <w:sz w:val="17"/>
                <w:szCs w:val="17"/>
              </w:rPr>
              <w:t>PERFORMANCE SPREAD</w:t>
            </w:r>
          </w:p>
        </w:tc>
        <w:tc>
          <w:tcPr>
            <w:tcW w:type="dxa" w:w="2494"/>
          </w:tcPr>
          <w:p>
            <w:pPr>
              <w:spacing w:before="0" w:after="0" w:line="264" w:lineRule="auto"/>
            </w:pPr>
            <w:r>
              <w:rPr>
                <w:rFonts w:ascii="Arial" w:hAnsi="Arial" w:cs="Arial" w:eastAsia="Arial"/>
                <w:color w:val="0E1E3A"/>
                <w:sz w:val="17"/>
                <w:szCs w:val="17"/>
              </w:rPr>
              <w:t>-1.14%</w:t>
            </w:r>
          </w:p>
        </w:tc>
        <w:tc>
          <w:tcPr>
            <w:tcW w:type="dxa" w:w="2494"/>
          </w:tcPr>
          <w:p>
            <w:pPr>
              <w:spacing w:before="0" w:after="0" w:line="264" w:lineRule="auto"/>
            </w:pPr>
            <w:r>
              <w:rPr>
                <w:rFonts w:ascii="Arial" w:hAnsi="Arial" w:cs="Arial" w:eastAsia="Arial"/>
                <w:color w:val="0E1E3A"/>
                <w:sz w:val="17"/>
                <w:szCs w:val="17"/>
              </w:rPr>
              <w:t>-1.14%</w:t>
            </w:r>
          </w:p>
        </w:tc>
        <w:tc>
          <w:tcPr>
            <w:tcW w:type="dxa" w:w="2494"/>
          </w:tcPr>
          <w:p>
            <w:pPr>
              <w:spacing w:before="0" w:after="0" w:line="264" w:lineRule="auto"/>
            </w:pPr>
            <w:r>
              <w:rPr>
                <w:rFonts w:ascii="Arial" w:hAnsi="Arial" w:cs="Arial" w:eastAsia="Arial"/>
                <w:color w:val="0E1E3A"/>
                <w:sz w:val="17"/>
                <w:szCs w:val="17"/>
              </w:rPr>
              <w:t>1.14%</w:t>
            </w:r>
          </w:p>
        </w:tc>
      </w:tr>
    </w:tbl>
    <w:p>
      <w:pPr>
        <w:spacing w:before="0" w:after="40" w:line="300" w:lineRule="auto"/>
      </w:pPr>
    </w:p>
    <w:p>
      <w:pPr>
        <w:spacing w:before="0" w:after="80" w:line="312" w:lineRule="auto"/>
      </w:pPr>
      <w:r>
        <w:rPr>
          <w:rFonts w:ascii="Arial" w:hAnsi="Arial" w:cs="Arial" w:eastAsia="Arial"/>
          <w:color w:val="5A6478"/>
          <w:sz w:val="17"/>
          <w:szCs w:val="17"/>
        </w:rPr>
        <w:t>* For the period from 1 January 2022 to 31 March 2022, including cash distributions of 2.50%.</w:t>
      </w:r>
      <w:r>
        <w:br/>
      </w:r>
      <w:r>
        <w:rPr>
          <w:rFonts w:ascii="Arial" w:hAnsi="Arial" w:cs="Arial" w:eastAsia="Arial"/>
          <w:color w:val="5A6478"/>
          <w:sz w:val="17"/>
          <w:szCs w:val="17"/>
        </w:rPr>
        <w:t>** For the period from 1 January 2022 to 31 March 2022, including cash distributions of 2.50%.</w:t>
      </w:r>
      <w:r>
        <w:br/>
      </w:r>
      <w:r>
        <w:rPr>
          <w:rFonts w:ascii="Arial" w:hAnsi="Arial" w:cs="Arial" w:eastAsia="Arial"/>
          <w:color w:val="5A6478"/>
          <w:sz w:val="17"/>
          <w:szCs w:val="17"/>
        </w:rPr>
        <w:t>*** For the period from 31 March 2021 to 31 March 2022, including cash distributions of 4.20% (Unit Price as at 31 March 2021 = SAR 9.9531).</w:t>
      </w:r>
      <w:r>
        <w:br/>
      </w:r>
      <w:r>
        <w:rPr>
          <w:rFonts w:ascii="Arial" w:hAnsi="Arial" w:cs="Arial" w:eastAsia="Arial"/>
          <w:color w:val="5A6478"/>
          <w:sz w:val="17"/>
          <w:szCs w:val="17"/>
        </w:rPr>
        <w:t>It should be noted that the Unit Price on the Exchange may increase or decrease based on market factors.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41"/>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2494"/>
            <w:shd w:val="clear" w:color="auto" w:fill="12284B"/>
          </w:tcPr>
          <w:p>
            <w:pPr>
              <w:spacing w:before="0" w:after="0" w:line="264" w:lineRule="auto"/>
            </w:pPr>
            <w:r>
              <w:rPr>
                <w:rFonts w:ascii="Arial" w:hAnsi="Arial" w:cs="Arial" w:eastAsia="Arial"/>
                <w:b/>
                <w:bCs/>
                <w:color w:val="FFFFFF"/>
                <w:sz w:val="17"/>
                <w:szCs w:val="17"/>
              </w:rPr>
              <w:t>3 MONTHS1</w:t>
            </w:r>
          </w:p>
        </w:tc>
        <w:tc>
          <w:tcPr>
            <w:tcW w:type="dxa" w:w="2494"/>
            <w:shd w:val="clear" w:color="auto" w:fill="12284B"/>
          </w:tcPr>
          <w:p>
            <w:pPr>
              <w:spacing w:before="0" w:after="0" w:line="264" w:lineRule="auto"/>
            </w:pPr>
            <w:r>
              <w:rPr>
                <w:rFonts w:ascii="Arial" w:hAnsi="Arial" w:cs="Arial" w:eastAsia="Arial"/>
                <w:b/>
                <w:bCs/>
                <w:color w:val="FFFFFF"/>
                <w:sz w:val="17"/>
                <w:szCs w:val="17"/>
              </w:rPr>
              <w:t>ONE YEAR UP TO 31 MARCH 20222</w:t>
            </w:r>
          </w:p>
        </w:tc>
        <w:tc>
          <w:tcPr>
            <w:tcW w:type="dxa" w:w="2494"/>
            <w:shd w:val="clear" w:color="auto" w:fill="12284B"/>
          </w:tcPr>
          <w:p>
            <w:pPr>
              <w:spacing w:before="0" w:after="0" w:line="264" w:lineRule="auto"/>
            </w:pPr>
            <w:r>
              <w:rPr>
                <w:rFonts w:ascii="Arial" w:hAnsi="Arial" w:cs="Arial" w:eastAsia="Arial"/>
                <w:b/>
                <w:bCs/>
                <w:color w:val="FFFFFF"/>
                <w:sz w:val="17"/>
                <w:szCs w:val="17"/>
              </w:rPr>
              <w:t>ONE YEAR</w:t>
            </w:r>
          </w:p>
        </w:tc>
      </w:tr>
      <w:tr>
        <w:tc>
          <w:tcPr>
            <w:tcW w:type="dxa" w:w="2494"/>
          </w:tcPr>
          <w:p>
            <w:pPr>
              <w:spacing w:before="0" w:after="0" w:line="264" w:lineRule="auto"/>
            </w:pPr>
            <w:r>
              <w:rPr>
                <w:rFonts w:ascii="Arial" w:hAnsi="Arial" w:cs="Arial" w:eastAsia="Arial"/>
                <w:color w:val="0E1E3A"/>
                <w:sz w:val="17"/>
                <w:szCs w:val="17"/>
              </w:rPr>
              <w:t>STANDARD DEVIATION3</w:t>
            </w:r>
          </w:p>
        </w:tc>
        <w:tc>
          <w:tcPr>
            <w:tcW w:type="dxa" w:w="2494"/>
          </w:tcPr>
          <w:p>
            <w:pPr>
              <w:spacing w:before="0" w:after="0" w:line="264" w:lineRule="auto"/>
            </w:pPr>
            <w:r>
              <w:rPr>
                <w:rFonts w:ascii="Arial" w:hAnsi="Arial" w:cs="Arial" w:eastAsia="Arial"/>
                <w:color w:val="0E1E3A"/>
                <w:sz w:val="17"/>
                <w:szCs w:val="17"/>
              </w:rPr>
              <w:t>9.18</w:t>
            </w:r>
          </w:p>
        </w:tc>
        <w:tc>
          <w:tcPr>
            <w:tcW w:type="dxa" w:w="2494"/>
          </w:tcPr>
          <w:p>
            <w:pPr>
              <w:spacing w:before="0" w:after="0" w:line="264" w:lineRule="auto"/>
            </w:pPr>
            <w:r>
              <w:rPr>
                <w:rFonts w:ascii="Arial" w:hAnsi="Arial" w:cs="Arial" w:eastAsia="Arial"/>
                <w:color w:val="0E1E3A"/>
                <w:sz w:val="17"/>
                <w:szCs w:val="17"/>
              </w:rPr>
              <w:t>9.18</w:t>
            </w:r>
          </w:p>
        </w:tc>
        <w:tc>
          <w:tcPr>
            <w:tcW w:type="dxa" w:w="2494"/>
          </w:tcPr>
          <w:p>
            <w:pPr>
              <w:spacing w:before="0" w:after="0" w:line="264" w:lineRule="auto"/>
            </w:pPr>
            <w:r>
              <w:rPr>
                <w:rFonts w:ascii="Arial" w:hAnsi="Arial" w:cs="Arial" w:eastAsia="Arial"/>
                <w:color w:val="0E1E3A"/>
                <w:sz w:val="17"/>
                <w:szCs w:val="17"/>
              </w:rPr>
              <w:t>6.70</w:t>
            </w:r>
          </w:p>
        </w:tc>
      </w:tr>
      <w:tr>
        <w:tc>
          <w:tcPr>
            <w:tcW w:type="dxa" w:w="2494"/>
          </w:tcPr>
          <w:p>
            <w:pPr>
              <w:spacing w:before="0" w:after="0" w:line="264" w:lineRule="auto"/>
            </w:pPr>
            <w:r>
              <w:rPr>
                <w:rFonts w:ascii="Arial" w:hAnsi="Arial" w:cs="Arial" w:eastAsia="Arial"/>
                <w:color w:val="0E1E3A"/>
                <w:sz w:val="17"/>
                <w:szCs w:val="17"/>
              </w:rPr>
              <w:t>SHARPE RATIO4</w:t>
            </w:r>
          </w:p>
        </w:tc>
        <w:tc>
          <w:tcPr>
            <w:tcW w:type="dxa" w:w="2494"/>
          </w:tcPr>
          <w:p>
            <w:pPr>
              <w:spacing w:before="0" w:after="0" w:line="264" w:lineRule="auto"/>
            </w:pPr>
            <w:r>
              <w:rPr>
                <w:rFonts w:ascii="Arial" w:hAnsi="Arial" w:cs="Arial" w:eastAsia="Arial"/>
                <w:color w:val="0E1E3A"/>
                <w:sz w:val="17"/>
                <w:szCs w:val="17"/>
              </w:rPr>
              <w:t>-0.70</w:t>
            </w:r>
          </w:p>
        </w:tc>
        <w:tc>
          <w:tcPr>
            <w:tcW w:type="dxa" w:w="2494"/>
          </w:tcPr>
          <w:p>
            <w:pPr>
              <w:spacing w:before="0" w:after="0" w:line="264" w:lineRule="auto"/>
            </w:pPr>
            <w:r>
              <w:rPr>
                <w:rFonts w:ascii="Arial" w:hAnsi="Arial" w:cs="Arial" w:eastAsia="Arial"/>
                <w:color w:val="0E1E3A"/>
                <w:sz w:val="17"/>
                <w:szCs w:val="17"/>
              </w:rPr>
              <w:t>-0.70</w:t>
            </w:r>
          </w:p>
        </w:tc>
        <w:tc>
          <w:tcPr>
            <w:tcW w:type="dxa" w:w="2494"/>
          </w:tcPr>
          <w:p>
            <w:pPr>
              <w:spacing w:before="0" w:after="0" w:line="264" w:lineRule="auto"/>
            </w:pPr>
            <w:r>
              <w:rPr>
                <w:rFonts w:ascii="Arial" w:hAnsi="Arial" w:cs="Arial" w:eastAsia="Arial"/>
                <w:color w:val="0E1E3A"/>
                <w:sz w:val="17"/>
                <w:szCs w:val="17"/>
              </w:rPr>
              <w:t>-0.52</w:t>
            </w:r>
          </w:p>
        </w:tc>
      </w:tr>
      <w:tr>
        <w:tc>
          <w:tcPr>
            <w:tcW w:type="dxa" w:w="2494"/>
          </w:tcPr>
          <w:p>
            <w:pPr>
              <w:spacing w:before="0" w:after="0" w:line="264" w:lineRule="auto"/>
            </w:pPr>
            <w:r>
              <w:rPr>
                <w:rFonts w:ascii="Arial" w:hAnsi="Arial" w:cs="Arial" w:eastAsia="Arial"/>
                <w:color w:val="0E1E3A"/>
                <w:sz w:val="17"/>
                <w:szCs w:val="17"/>
              </w:rPr>
              <w:t>TRACKING ERROR5</w:t>
            </w:r>
          </w:p>
        </w:tc>
        <w:tc>
          <w:tcPr>
            <w:tcW w:type="dxa" w:w="2494"/>
          </w:tcPr>
          <w:p>
            <w:pPr>
              <w:spacing w:before="0" w:after="0" w:line="264" w:lineRule="auto"/>
            </w:pPr>
            <w:r>
              <w:rPr>
                <w:rFonts w:ascii="Arial" w:hAnsi="Arial" w:cs="Arial" w:eastAsia="Arial"/>
                <w:color w:val="0E1E3A"/>
                <w:sz w:val="17"/>
                <w:szCs w:val="17"/>
              </w:rPr>
              <w:t>9.19</w:t>
            </w:r>
          </w:p>
        </w:tc>
        <w:tc>
          <w:tcPr>
            <w:tcW w:type="dxa" w:w="2494"/>
          </w:tcPr>
          <w:p>
            <w:pPr>
              <w:spacing w:before="0" w:after="0" w:line="264" w:lineRule="auto"/>
            </w:pPr>
            <w:r>
              <w:rPr>
                <w:rFonts w:ascii="Arial" w:hAnsi="Arial" w:cs="Arial" w:eastAsia="Arial"/>
                <w:color w:val="0E1E3A"/>
                <w:sz w:val="17"/>
                <w:szCs w:val="17"/>
              </w:rPr>
              <w:t>9.19</w:t>
            </w:r>
          </w:p>
        </w:tc>
        <w:tc>
          <w:tcPr>
            <w:tcW w:type="dxa" w:w="2494"/>
          </w:tcPr>
          <w:p>
            <w:pPr>
              <w:spacing w:before="0" w:after="0" w:line="264" w:lineRule="auto"/>
            </w:pPr>
            <w:r>
              <w:rPr>
                <w:rFonts w:ascii="Arial" w:hAnsi="Arial" w:cs="Arial" w:eastAsia="Arial"/>
                <w:color w:val="0E1E3A"/>
                <w:sz w:val="17"/>
                <w:szCs w:val="17"/>
              </w:rPr>
              <w:t>6.70</w:t>
            </w:r>
          </w:p>
        </w:tc>
      </w:tr>
      <w:tr>
        <w:tc>
          <w:tcPr>
            <w:tcW w:type="dxa" w:w="2494"/>
          </w:tcPr>
          <w:p>
            <w:pPr>
              <w:spacing w:before="0" w:after="0" w:line="264" w:lineRule="auto"/>
            </w:pPr>
            <w:r>
              <w:rPr>
                <w:rFonts w:ascii="Arial" w:hAnsi="Arial" w:cs="Arial" w:eastAsia="Arial"/>
                <w:color w:val="0E1E3A"/>
                <w:sz w:val="17"/>
                <w:szCs w:val="17"/>
              </w:rPr>
              <w:t>BETA6</w:t>
            </w:r>
          </w:p>
        </w:tc>
        <w:tc>
          <w:tcPr>
            <w:tcW w:type="dxa" w:w="2494"/>
          </w:tcPr>
          <w:p>
            <w:pPr>
              <w:spacing w:before="0" w:after="0" w:line="264" w:lineRule="auto"/>
            </w:pPr>
            <w:r>
              <w:rPr>
                <w:rFonts w:ascii="Arial" w:hAnsi="Arial" w:cs="Arial" w:eastAsia="Arial"/>
                <w:color w:val="0E1E3A"/>
                <w:sz w:val="17"/>
                <w:szCs w:val="17"/>
              </w:rPr>
              <w:t>-2.32</w:t>
            </w:r>
          </w:p>
        </w:tc>
        <w:tc>
          <w:tcPr>
            <w:tcW w:type="dxa" w:w="2494"/>
          </w:tcPr>
          <w:p>
            <w:pPr>
              <w:spacing w:before="0" w:after="0" w:line="264" w:lineRule="auto"/>
            </w:pPr>
            <w:r>
              <w:rPr>
                <w:rFonts w:ascii="Arial" w:hAnsi="Arial" w:cs="Arial" w:eastAsia="Arial"/>
                <w:color w:val="0E1E3A"/>
                <w:sz w:val="17"/>
                <w:szCs w:val="17"/>
              </w:rPr>
              <w:t>-2.32</w:t>
            </w:r>
          </w:p>
        </w:tc>
        <w:tc>
          <w:tcPr>
            <w:tcW w:type="dxa" w:w="2494"/>
          </w:tcPr>
          <w:p>
            <w:pPr>
              <w:spacing w:before="0" w:after="0" w:line="264" w:lineRule="auto"/>
            </w:pPr>
            <w:r>
              <w:rPr>
                <w:rFonts w:ascii="Arial" w:hAnsi="Arial" w:cs="Arial" w:eastAsia="Arial"/>
                <w:color w:val="0E1E3A"/>
                <w:sz w:val="17"/>
                <w:szCs w:val="17"/>
              </w:rPr>
              <w:t>-0.96</w:t>
            </w:r>
          </w:p>
        </w:tc>
      </w:tr>
      <w:tr>
        <w:tc>
          <w:tcPr>
            <w:tcW w:type="dxa" w:w="2494"/>
          </w:tcPr>
          <w:p>
            <w:pPr>
              <w:spacing w:before="0" w:after="0" w:line="264" w:lineRule="auto"/>
            </w:pPr>
            <w:r>
              <w:rPr>
                <w:rFonts w:ascii="Arial" w:hAnsi="Arial" w:cs="Arial" w:eastAsia="Arial"/>
                <w:color w:val="0E1E3A"/>
                <w:sz w:val="17"/>
                <w:szCs w:val="17"/>
              </w:rPr>
              <w:t>ALPHA7</w:t>
            </w:r>
          </w:p>
        </w:tc>
        <w:tc>
          <w:tcPr>
            <w:tcW w:type="dxa" w:w="2494"/>
          </w:tcPr>
          <w:p>
            <w:pPr>
              <w:spacing w:before="0" w:after="0" w:line="264" w:lineRule="auto"/>
            </w:pPr>
            <w:r>
              <w:rPr>
                <w:rFonts w:ascii="Arial" w:hAnsi="Arial" w:cs="Arial" w:eastAsia="Arial"/>
                <w:color w:val="0E1E3A"/>
                <w:sz w:val="17"/>
                <w:szCs w:val="17"/>
              </w:rPr>
              <w:t>-9.77%</w:t>
            </w:r>
          </w:p>
        </w:tc>
        <w:tc>
          <w:tcPr>
            <w:tcW w:type="dxa" w:w="2494"/>
          </w:tcPr>
          <w:p>
            <w:pPr>
              <w:spacing w:before="0" w:after="0" w:line="264" w:lineRule="auto"/>
            </w:pPr>
            <w:r>
              <w:rPr>
                <w:rFonts w:ascii="Arial" w:hAnsi="Arial" w:cs="Arial" w:eastAsia="Arial"/>
                <w:color w:val="0E1E3A"/>
                <w:sz w:val="17"/>
                <w:szCs w:val="17"/>
              </w:rPr>
              <w:t>-9.77%</w:t>
            </w:r>
          </w:p>
        </w:tc>
        <w:tc>
          <w:tcPr>
            <w:tcW w:type="dxa" w:w="2494"/>
          </w:tcPr>
          <w:p>
            <w:pPr>
              <w:spacing w:before="0" w:after="0" w:line="264" w:lineRule="auto"/>
            </w:pPr>
            <w:r>
              <w:rPr>
                <w:rFonts w:ascii="Arial" w:hAnsi="Arial" w:cs="Arial" w:eastAsia="Arial"/>
                <w:color w:val="0E1E3A"/>
                <w:sz w:val="17"/>
                <w:szCs w:val="17"/>
              </w:rPr>
              <w:t>-6.60</w:t>
            </w:r>
          </w:p>
        </w:tc>
      </w:tr>
      <w:tr>
        <w:tc>
          <w:tcPr>
            <w:tcW w:type="dxa" w:w="2494"/>
          </w:tcPr>
          <w:p>
            <w:pPr>
              <w:spacing w:before="0" w:after="0" w:line="264" w:lineRule="auto"/>
            </w:pPr>
            <w:r>
              <w:rPr>
                <w:rFonts w:ascii="Arial" w:hAnsi="Arial" w:cs="Arial" w:eastAsia="Arial"/>
                <w:color w:val="0E1E3A"/>
                <w:sz w:val="17"/>
                <w:szCs w:val="17"/>
              </w:rPr>
              <w:t>INFORMATION RATIO8</w:t>
            </w:r>
          </w:p>
        </w:tc>
        <w:tc>
          <w:tcPr>
            <w:tcW w:type="dxa" w:w="2494"/>
          </w:tcPr>
          <w:p>
            <w:pPr>
              <w:spacing w:before="0" w:after="0" w:line="264" w:lineRule="auto"/>
            </w:pPr>
            <w:r>
              <w:rPr>
                <w:rFonts w:ascii="Arial" w:hAnsi="Arial" w:cs="Arial" w:eastAsia="Arial"/>
                <w:color w:val="0E1E3A"/>
                <w:sz w:val="17"/>
                <w:szCs w:val="17"/>
              </w:rPr>
              <w:t>-1.06%</w:t>
            </w:r>
          </w:p>
        </w:tc>
        <w:tc>
          <w:tcPr>
            <w:tcW w:type="dxa" w:w="2494"/>
          </w:tcPr>
          <w:p>
            <w:pPr>
              <w:spacing w:before="0" w:after="0" w:line="264" w:lineRule="auto"/>
            </w:pPr>
            <w:r>
              <w:rPr>
                <w:rFonts w:ascii="Arial" w:hAnsi="Arial" w:cs="Arial" w:eastAsia="Arial"/>
                <w:color w:val="0E1E3A"/>
                <w:sz w:val="17"/>
                <w:szCs w:val="17"/>
              </w:rPr>
              <w:t>-1.06%</w:t>
            </w:r>
          </w:p>
        </w:tc>
        <w:tc>
          <w:tcPr>
            <w:tcW w:type="dxa" w:w="2494"/>
          </w:tcPr>
          <w:p>
            <w:pPr>
              <w:spacing w:before="0" w:after="0" w:line="264" w:lineRule="auto"/>
            </w:pPr>
            <w:r>
              <w:rPr>
                <w:rFonts w:ascii="Arial" w:hAnsi="Arial" w:cs="Arial" w:eastAsia="Arial"/>
                <w:color w:val="0E1E3A"/>
                <w:sz w:val="17"/>
                <w:szCs w:val="17"/>
              </w:rPr>
              <w:t>-0.99</w:t>
            </w:r>
          </w:p>
        </w:tc>
      </w:tr>
    </w:tbl>
    <w:p>
      <w:pPr>
        <w:spacing w:before="0" w:after="40" w:line="300" w:lineRule="auto"/>
      </w:pPr>
    </w:p>
    <w:p>
      <w:pPr>
        <w:spacing w:before="0" w:after="80" w:line="312" w:lineRule="auto"/>
      </w:pPr>
      <w:r>
        <w:rPr>
          <w:rFonts w:ascii="Arial" w:hAnsi="Arial" w:cs="Arial" w:eastAsia="Arial"/>
          <w:color w:val="5A6478"/>
          <w:sz w:val="17"/>
          <w:szCs w:val="17"/>
        </w:rPr>
        <w:t>1. For the period from 31 December 2021 to 31 March 2022.</w:t>
      </w:r>
      <w:r>
        <w:br/>
      </w:r>
      <w:r>
        <w:rPr>
          <w:rFonts w:ascii="Arial" w:hAnsi="Arial" w:cs="Arial" w:eastAsia="Arial"/>
          <w:color w:val="5A6478"/>
          <w:sz w:val="17"/>
          <w:szCs w:val="17"/>
        </w:rPr>
        <w:t>2. For the period from 31 December 2021 to 31 March 2022.</w:t>
      </w:r>
      <w:r>
        <w:br/>
      </w:r>
      <w:r>
        <w:rPr>
          <w:rFonts w:ascii="Arial" w:hAnsi="Arial" w:cs="Arial" w:eastAsia="Arial"/>
          <w:color w:val="5A6478"/>
          <w:sz w:val="17"/>
          <w:szCs w:val="17"/>
        </w:rPr>
        <w:t>3. For the period from 31 December 2021 to 31 March 2022.</w:t>
      </w:r>
      <w:r>
        <w:br/>
      </w:r>
      <w:r>
        <w:rPr>
          <w:rFonts w:ascii="Arial" w:hAnsi="Arial" w:cs="Arial" w:eastAsia="Arial"/>
          <w:color w:val="5A6478"/>
          <w:sz w:val="17"/>
          <w:szCs w:val="17"/>
        </w:rPr>
        <w:t>4. Standard Deviation is a measure of risk. It is calculated as any volatility in returns over a period of time. The lower the volatility, the more homogeneous the set of returns.</w:t>
      </w:r>
      <w:r>
        <w:br/>
      </w:r>
      <w:r>
        <w:rPr>
          <w:rFonts w:ascii="Arial" w:hAnsi="Arial" w:cs="Arial" w:eastAsia="Arial"/>
          <w:color w:val="5A6478"/>
          <w:sz w:val="17"/>
          <w:szCs w:val="17"/>
        </w:rPr>
        <w:t>5. Sharpe Ratio is a risk-adjusted performance measure. It is calculated as the difference as the Fund Manager excess return over the risk-free rate, divided by the Standard Deviation. The greater a portfolio's Sharpe Ratio, the better its risk-adjusted performance.</w:t>
      </w:r>
      <w:r>
        <w:br/>
      </w:r>
      <w:r>
        <w:rPr>
          <w:rFonts w:ascii="Arial" w:hAnsi="Arial" w:cs="Arial" w:eastAsia="Arial"/>
          <w:color w:val="5A6478"/>
          <w:sz w:val="17"/>
          <w:szCs w:val="17"/>
        </w:rPr>
        <w:t>6. Tracking Error is a measure of risks. It is calculated as the Standard Deviation between the Fund Manager's return and the Benchmark's return. The lower the Tracking Error, the lower the Fund Manager deviates from the Benchmark.</w:t>
      </w:r>
      <w:r>
        <w:br/>
      </w:r>
      <w:r>
        <w:rPr>
          <w:rFonts w:ascii="Arial" w:hAnsi="Arial" w:cs="Arial" w:eastAsia="Arial"/>
          <w:color w:val="5A6478"/>
          <w:sz w:val="17"/>
          <w:szCs w:val="17"/>
        </w:rPr>
        <w:t>7. Beta is a measure of the average historical sensitivity of the Fund's returns compared to market returns. It is calculated by using the covariance of the Fund and the market on the variance of the market.</w:t>
      </w:r>
      <w:r>
        <w:br/>
      </w:r>
      <w:r>
        <w:rPr>
          <w:rFonts w:ascii="Arial" w:hAnsi="Arial" w:cs="Arial" w:eastAsia="Arial"/>
          <w:color w:val="5A6478"/>
          <w:sz w:val="17"/>
          <w:szCs w:val="17"/>
        </w:rPr>
        <w:t>8. Alpha measures any excess return achieved by the Fund compared to the performance of the index.</w:t>
      </w:r>
      <w:r>
        <w:br/>
      </w:r>
      <w:r>
        <w:rPr>
          <w:rFonts w:ascii="Arial" w:hAnsi="Arial" w:cs="Arial" w:eastAsia="Arial"/>
          <w:color w:val="5A6478"/>
          <w:sz w:val="17"/>
          <w:szCs w:val="17"/>
        </w:rPr>
        <w:t>9. Information Ratio is a risk performance measure. It is calculated as the active return of the Fund Manager, divided by its tracking error. The higher the Information ratio, the higher the Fund Manager ability to generate excess returns per Unit of excess risk. Knowing that the performance and risk parameters were calculated based on the Unit's trading prices in the market.</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42"/>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MATERIAL OR SIGNIFICANT CHANGES AFFECTING THE PERFORMANCE OF THE FUND</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36.7% of the Fund’s assets in leasing transactions across several types of equipment and companies. The leasing portfolio is mainly invested in the United States, and is expected to generate a total return of 6.00% - 6.50% annually over the next five-year term.</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To diversify the Fund’s investments, the Fund Manager invested 23.6% of the Fund’s assets in income funds, ranging between private financing, trade finance and securitization, with an expected average annual return of 6.0% to 7.0%.</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16.9% of the Fund’s assets in trade finance transactions with several counterparties and across various industries, mostly in the European continent. All executed transactions are of a short-term nature, with returns ranging between 6.0% to 7.0% annually.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Fund Manager invested 13.1% of the Fund’s assets in Sukuk of different credit ratings, including sovereign, semi-sovereign and corporate Sukuk. The Fund Manager has obtained credit facilities that support increasing the Portfolio’s returns to over 4.5% per annum, while maintaining a weighted average for classifying the Portfolio as an investment grade.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4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OVERVIEW OF THE LEASING, TRADE FINANCE AND SUKUK INDUSTRIES</w:t>
      </w:r>
    </w:p>
    <w:p>
      <w:pPr>
        <w:pStyle w:val="Heading3"/>
        <w:keepNext/>
        <w:spacing w:before="160" w:after="100" w:line="300" w:lineRule="auto"/>
      </w:pPr>
      <w:r>
        <w:rPr>
          <w:rFonts w:ascii="Arial" w:hAnsi="Arial" w:cs="Arial" w:eastAsia="Arial"/>
          <w:b/>
          <w:bCs/>
          <w:color w:val="12284B"/>
          <w:sz w:val="22"/>
          <w:szCs w:val="22"/>
        </w:rPr>
        <w:t>LEASING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COVID-19 pandemic had a significant adverse effect on the leasing market, with the decline of consumer demand for many companies and the closure of commercial activities of some companies, due to the restrictive containment measures. The wide scale containment measures applied in many countries resulting in the closure of manufacturing and other industrial companies; thus, affecting demand on leased machinery and equipment throughout 2020 and well into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In Q1 2022, supply chain challenges continued to adversely affect the availability of equipment in general. Furthermore, the conflict between Russia and Ukraine amplified overall market volatility and added to the instability of the market environment. As a result, the Monthly Leasing and Finance Index (MLFI-25), which tracks the economic activity of 25 companies representing the US$ 900 billion US equipment financing sector, declined from 61.8 in February 2022 to 58.2 in March 2022.</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Various industries, such as construction, mining and agriculture, have recently shown an increasing trend towards renting or leasing equipment, as opposed to buying, which reflects the increasing tendency of businesses exploring leasing options of new equipment, as well as the greater shift towards reducing cost, accompanied by smaller business increasing emphasis on expansion plans.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US Fed’s decision to increase interest rates in March 2022 is likely to instantly result in higher financing costs for many forms of borrowing and credit. Every interest rate increase is expected to yield more pressures on the leasing market.</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estimates published by the Business Research Company (TBRC), the global leasing market is expected to grow from US$ 1.35 trillion in 2021 to US$ 2.40 trillion in 2026, a CAGR of approximately 12.0%. The vehicle leasing market is projected to have the fastest growth, with a CAGR of 14.7% for the period from 2021 – 2026.</w:t>
      </w:r>
    </w:p>
    <w:p>
      <w:pPr>
        <w:pStyle w:val="Heading3"/>
        <w:keepNext/>
        <w:spacing w:before="160" w:after="100" w:line="300" w:lineRule="auto"/>
      </w:pPr>
      <w:r>
        <w:rPr>
          <w:rFonts w:ascii="Arial" w:hAnsi="Arial" w:cs="Arial" w:eastAsia="Arial"/>
          <w:b/>
          <w:bCs/>
          <w:color w:val="12284B"/>
          <w:sz w:val="22"/>
          <w:szCs w:val="22"/>
        </w:rPr>
        <w:t>TRADE FINANCE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UNCTAD, world trade in commodities remained strong, and services were restored to their pre-pandemic levels, to reach US$ 28.5 trillion in 2021, an increase of 25% compared to 2020, and 13% compared to 2019, with the bulk of the world trade taking place in the H1 2021, and further overall progress made in the H2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After its relatively slow growth in Q3 2021, world trade in commodities increased by around US$ 200 billion in Q4 2021, to reach a total value of US$ 5.8 trillion. Similarly, world trade in services increase by US$ 50 billion to reach a total value of US$ 1.6 trillion, which is equal to its pre-pandemic levels.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However, the increasing tensions caused by the Russian invasion of Ukraine are restricting world trade, according to a report published by Keil Institute, the German research center. Russian exports are expected to see the largest adverse effect in February 2022 (m-o-m), having declined by -11.8%, followed by the United States by -3.9% (m-o-m), EU shipments by -2.8% (m-o-m) and Germany by -0.3% (m-o-m), while China achieved growth by 0.3% (m-o-m). However, the accelerated fears over the spread of the Omicron variant may affect growth. Moreover, stricter customs regulation to ensure compliance with sanctions imposed on Russia may lead to delays in marine commerce.</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Given the fact that approximately 80% to 90% of the world trade relies on trade finance (trade credit / insurance / guarantees), the economic uncertainty of the world trade climate may adversely affect the trade finance industry in general.</w:t>
      </w:r>
    </w:p>
    <w:p>
      <w:pPr>
        <w:pStyle w:val="Heading3"/>
        <w:keepNext/>
        <w:spacing w:before="160" w:after="100" w:line="300" w:lineRule="auto"/>
      </w:pPr>
      <w:r>
        <w:rPr>
          <w:rFonts w:ascii="Arial" w:hAnsi="Arial" w:cs="Arial" w:eastAsia="Arial"/>
          <w:b/>
          <w:bCs/>
          <w:color w:val="12284B"/>
          <w:sz w:val="22"/>
          <w:szCs w:val="22"/>
        </w:rPr>
        <w:t>SUKUK INDUSTRY OVERVIEW</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According to Fitch Ratings, global sukuk issues increased by 36% in 2021 to US$ 252.3 billion, and are expected to continue expanding in 2022 given the strong investor appetite. The majority of issues originated from Indonesia, Malaysia, GCC States, Turkey and Pakistan.</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Global sukuk issues neared US$ 40 billion in January/February 2022, an increase of over 7%, y-o-y, indicating the continued growth of market activity.</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sustainability sukuk issues increased as well in 2021, with the growing importance of green projects and social projects amid efforts made by countries towards transforming to a more sustainable economy. The total sustainability sukuk jumped from US$ 1.6 billion in 2020 to US$ 3.7 billion in 2021.</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Growth of US Dollar denominated sukuk came to a halt in March with the start of the conflict between Russia and Ukraine, and amid higher oil prices (Fitch modified its expectations to US$ 100 per barrel in 2022 and US$ 80 per barrel in 2023), higher interest rates and inflationary pressures.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long term outlook of the sukuk market is strong considering the financing needs of the issuers, the diversification goals, and the investor appetite, particularly among Islamic bank in GCC States. Stable liquidity is likely to rise due to higher oil prices.</w:t>
      </w:r>
    </w:p>
    <w:p>
      <w:pPr>
        <w:spacing w:before="0" w:after="40" w:line="300" w:lineRule="auto"/>
        <w:ind w:left="420" w:hanging="280"/>
      </w:pPr>
      <w:r>
        <w:rPr>
          <w:rFonts w:ascii="Arial" w:hAnsi="Arial" w:cs="Arial" w:eastAsia="Arial"/>
          <w:color w:val="3B7DD8"/>
          <w:sz w:val="20"/>
          <w:szCs w:val="20"/>
        </w:rPr>
        <w:t>•</w:t>
        <w:tab/>
      </w:r>
      <w:r>
        <w:rPr>
          <w:rFonts w:ascii="Arial" w:hAnsi="Arial" w:cs="Arial" w:eastAsia="Arial"/>
          <w:color w:val="0E1E3A"/>
          <w:sz w:val="20"/>
          <w:szCs w:val="20"/>
        </w:rPr>
        <w:t>The increased prices of oil and commodities is expected to have mixed effects on major Islamic finance markets. Oil exporters comprise the majority of main sukuk markets 70%, while oil importers comprise the remaining percentage. The pegging of GCC currencies to the United States Dollar is viewed as an advantage. Oil importing markets are expected to encounter increased financing requirements, part of which would be met through the issuance of sukuk.</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44"/>
            <wp:cNvGraphicFramePr>
              <a:graphicFrameLocks noChangeAspect="1"/>
            </wp:cNvGraphicFramePr>
            <a:graphic>
              <a:graphicData uri="http://schemas.openxmlformats.org/drawingml/2006/picture">
                <pic:pic>
                  <pic:nvPicPr>
                    <pic:cNvPr id="0" name="ico_a4c5ee8beea27f59442669cc4fdf4aa4.png"/>
                    <pic:cNvPicPr/>
                  </pic:nvPicPr>
                  <pic:blipFill>
                    <a:blip r:embed="rId18"/>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w:t>
      </w:r>
    </w:p>
    <w:p>
      <w:pPr>
        <w:spacing w:before="0" w:after="80" w:line="240" w:lineRule="auto"/>
        <w:jc w:val="center"/>
      </w:pPr>
      <w:r>
        <w:drawing>
          <wp:inline xmlns:a="http://schemas.openxmlformats.org/drawingml/2006/main" xmlns:pic="http://schemas.openxmlformats.org/drawingml/2006/picture">
            <wp:extent cx="6336000" cy="2730378"/>
            <wp:docPr id="24" name="Picture 9045"/>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2730378"/>
                    </a:xfrm>
                    <a:prstGeom prst="rect"/>
                  </pic:spPr>
                </pic:pic>
              </a:graphicData>
            </a:graphic>
          </wp:inline>
        </w:drawing>
      </w:r>
    </w:p>
    <w:p>
      <w:pPr>
        <w:spacing w:before="0" w:after="80" w:line="312" w:lineRule="auto"/>
      </w:pPr>
      <w:r>
        <w:rPr>
          <w:rFonts w:ascii="Arial" w:hAnsi="Arial" w:cs="Arial" w:eastAsia="Arial"/>
          <w:color w:val="5A6478"/>
          <w:sz w:val="17"/>
          <w:szCs w:val="17"/>
        </w:rPr>
        <w:t>* Prices as at 31 March 2022</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5" name="Picture 9046"/>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47"/>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pn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 Quarterly Statement Q1 2022</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