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4"/>
            <wp:cNvGraphicFramePr/>
            <a:graphic>
              <a:graphicData uri="http://schemas.openxmlformats.org/drawingml/2006/picture">
                <pic:pic>
                  <pic:nvPicPr>
                    <pic:cNvPr id="9024" name="banner902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9.7877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510,413,435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45,716,577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‎8.96%‎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‎9.88%‎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‎0.38%‎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90 يوم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2023م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 *</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2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الاستثمارات في الصندوق والتوزيع القطاعي للاستثمارات معًا.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510,413,435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462,776,898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‎0.68%‎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‎0.58%‎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‎0.74%‎</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3,464,888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2023م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أصول الصندوق = 466,507,341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148,210,653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178,684,868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32,592,278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121,010,436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29,915,201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1" name="Picture 9034"/>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342,317,843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2022م</w:t>
            </w:r>
          </w:p>
        </w:tc>
        <w:tc>
          <w:tcPr>
            <w:tcW w:type="dxa" w:w="6860"/>
          </w:tcPr>
          <w:p>
            <w:pPr>
              <w:bidi w:val="1"/>
              <w:spacing w:before="0" w:after="0" w:line="276" w:lineRule="auto"/>
            </w:pPr>
            <w:r>
              <w:rPr>
                <w:rFonts w:ascii="Arial" w:hAnsi="Arial" w:cs="Arial" w:eastAsia="Arial"/>
                <w:b/>
                <w:bCs/>
                <w:color w:val="0E1E3A"/>
                <w:sz w:val="18"/>
                <w:szCs w:val="18"/>
                <w:rtl/>
              </w:rPr>
              <w:t>339,480,955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2022م</w:t>
            </w:r>
          </w:p>
        </w:tc>
        <w:tc>
          <w:tcPr>
            <w:tcW w:type="dxa" w:w="6860"/>
          </w:tcPr>
          <w:p>
            <w:pPr>
              <w:bidi w:val="1"/>
              <w:spacing w:before="0" w:after="0" w:line="276" w:lineRule="auto"/>
            </w:pPr>
            <w:r>
              <w:rPr>
                <w:rFonts w:ascii="Arial" w:hAnsi="Arial" w:cs="Arial" w:eastAsia="Arial"/>
                <w:b/>
                <w:bCs/>
                <w:color w:val="0E1E3A"/>
                <w:sz w:val="18"/>
                <w:szCs w:val="18"/>
                <w:rtl/>
              </w:rPr>
              <w:t>281,324,747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مارس 2023م</w:t>
            </w:r>
          </w:p>
        </w:tc>
        <w:tc>
          <w:tcPr>
            <w:tcW w:type="dxa" w:w="6860"/>
          </w:tcPr>
          <w:p>
            <w:pPr>
              <w:bidi w:val="1"/>
              <w:spacing w:before="0" w:after="0" w:line="276" w:lineRule="auto"/>
            </w:pPr>
            <w:r>
              <w:rPr>
                <w:rFonts w:ascii="Arial" w:hAnsi="Arial" w:cs="Arial" w:eastAsia="Arial"/>
                <w:b/>
                <w:bCs/>
                <w:color w:val="0E1E3A"/>
                <w:sz w:val="18"/>
                <w:szCs w:val="18"/>
                <w:rtl/>
              </w:rPr>
              <w:t>297,873,261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(30 مارس 2023م)</w:t>
            </w:r>
          </w:p>
        </w:tc>
        <w:tc>
          <w:tcPr>
            <w:tcW w:type="dxa" w:w="6860"/>
          </w:tcPr>
          <w:p>
            <w:pPr>
              <w:bidi w:val="1"/>
              <w:spacing w:before="0" w:after="0" w:line="276" w:lineRule="auto"/>
            </w:pPr>
            <w:r>
              <w:rPr>
                <w:rFonts w:ascii="Arial" w:hAnsi="Arial" w:cs="Arial" w:eastAsia="Arial"/>
                <w:b/>
                <w:bCs/>
                <w:color w:val="0E1E3A"/>
                <w:sz w:val="18"/>
                <w:szCs w:val="18"/>
                <w:rtl/>
              </w:rPr>
              <w:t>6.30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 (من تاريخ 29 ديسمبر 2022م إلى 30 مارس 2023م)*</w:t>
            </w:r>
          </w:p>
        </w:tc>
        <w:tc>
          <w:tcPr>
            <w:tcW w:type="dxa" w:w="6860"/>
          </w:tcPr>
          <w:p>
            <w:pPr>
              <w:bidi w:val="1"/>
              <w:spacing w:before="0" w:after="0" w:line="276" w:lineRule="auto"/>
            </w:pPr>
            <w:r>
              <w:rPr>
                <w:rFonts w:ascii="Arial" w:hAnsi="Arial" w:cs="Arial" w:eastAsia="Arial"/>
                <w:b/>
                <w:bCs/>
                <w:color w:val="0E1E3A"/>
                <w:sz w:val="18"/>
                <w:szCs w:val="18"/>
              </w:rPr>
              <w:t>‎5.88%‎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2023م)</w:t>
            </w:r>
          </w:p>
        </w:tc>
        <w:tc>
          <w:tcPr>
            <w:tcW w:type="dxa" w:w="6860"/>
          </w:tcPr>
          <w:p>
            <w:pPr>
              <w:bidi w:val="1"/>
              <w:spacing w:before="0" w:after="0" w:line="276" w:lineRule="auto"/>
            </w:pPr>
            <w:r>
              <w:rPr>
                <w:rFonts w:ascii="Arial" w:hAnsi="Arial" w:cs="Arial" w:eastAsia="Arial"/>
                <w:b/>
                <w:bCs/>
                <w:color w:val="0E1E3A"/>
                <w:sz w:val="18"/>
                <w:szCs w:val="18"/>
              </w:rPr>
              <w:t>‎-37.00%‎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8.54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5.91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29 ديسمبر 2022م = 5.95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7"/>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13,238,812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‎4.42%‎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9,242,815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مارس 2023م)</w:t>
            </w:r>
          </w:p>
        </w:tc>
        <w:tc>
          <w:tcPr>
            <w:tcW w:type="dxa" w:w="6860"/>
          </w:tcPr>
          <w:p>
            <w:pPr>
              <w:bidi w:val="1"/>
              <w:spacing w:before="0" w:after="0" w:line="276" w:lineRule="auto"/>
            </w:pPr>
            <w:r>
              <w:rPr>
                <w:rFonts w:ascii="Arial" w:hAnsi="Arial" w:cs="Arial" w:eastAsia="Arial"/>
                <w:b/>
                <w:bCs/>
                <w:color w:val="0E1E3A"/>
                <w:sz w:val="18"/>
                <w:szCs w:val="18"/>
              </w:rPr>
              <w:t>‎3.10%‎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يناير 2023م إلى 31 مارس 2023.</w:t>
      </w:r>
      <w:r>
        <w:br/>
      </w:r>
      <w:r>
        <w:rPr>
          <w:rFonts w:ascii="Arial" w:hAnsi="Arial" w:cs="Arial" w:eastAsia="Arial"/>
          <w:color w:val="5A6478"/>
          <w:sz w:val="17"/>
          <w:szCs w:val="17"/>
          <w:rtl/>
        </w:rPr>
        <w:t>** من 1 يوليو 2022م إلى 31 ديسمبر 2022.</w:t>
      </w:r>
      <w:r>
        <w:br/>
      </w:r>
      <w:r>
        <w:rPr>
          <w:rFonts w:ascii="Arial" w:hAnsi="Arial" w:cs="Arial" w:eastAsia="Arial"/>
          <w:color w:val="5A6478"/>
          <w:sz w:val="17"/>
          <w:szCs w:val="17"/>
          <w:rtl/>
        </w:rPr>
        <w:t>*** سعر الوحدة بتاريخ التوزيع 19 فبراير 2023م = 6.34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‎5.88%‎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‎-37.00%‎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‎-28.42%‎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كما في 31 ديسمبر 2022م = 5.95 ر.س.</w:t>
      </w:r>
      <w:r>
        <w:br/>
      </w:r>
      <w:r>
        <w:rPr>
          <w:rFonts w:ascii="Arial" w:hAnsi="Arial" w:cs="Arial" w:eastAsia="Arial"/>
          <w:color w:val="5A6478"/>
          <w:sz w:val="17"/>
          <w:szCs w:val="17"/>
          <w:rtl/>
        </w:rPr>
        <w:t>** من تاريخ بدء الصندوق إلى نهاية الربع الرابع من العام 2022م.</w:t>
      </w:r>
      <w:r>
        <w:br/>
      </w:r>
      <w:r>
        <w:rPr>
          <w:rFonts w:ascii="Arial" w:hAnsi="Arial" w:cs="Arial" w:eastAsia="Arial"/>
          <w:color w:val="5A6478"/>
          <w:sz w:val="17"/>
          <w:szCs w:val="17"/>
          <w:rtl/>
        </w:rPr>
        <w:t>*** العائد الكلي = أداء سعر الوحدة + إجمالي الأرباح الموزعة (إن وجدت).</w:t>
      </w:r>
      <w:r>
        <w:br/>
      </w:r>
      <w:r>
        <w:rPr>
          <w:rFonts w:ascii="Arial" w:hAnsi="Arial" w:cs="Arial" w:eastAsia="Arial"/>
          <w:color w:val="5A6478"/>
          <w:sz w:val="17"/>
          <w:szCs w:val="17"/>
          <w:rtl/>
        </w:rPr>
        <w:t>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المؤشر الاسترشادي للصندوق هو مؤشر معدل (الليبور- LIBOR) لمدة 12 شهر زائد 300 نقطة أساس.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9.9455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9.7877</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‎-1.59%‎</w:t>
            </w:r>
          </w:p>
        </w:tc>
        <w:tc>
          <w:tcPr>
            <w:tcW w:type="dxa" w:w="3326"/>
          </w:tcPr>
          <w:p>
            <w:pPr>
              <w:bidi w:val="1"/>
              <w:spacing w:before="0" w:after="0" w:line="264" w:lineRule="auto"/>
            </w:pPr>
            <w:r>
              <w:rPr>
                <w:rFonts w:ascii="Arial" w:hAnsi="Arial" w:cs="Arial" w:eastAsia="Arial"/>
                <w:color w:val="0E1E3A"/>
                <w:sz w:val="17"/>
                <w:szCs w:val="17"/>
              </w:rPr>
              <w:t>‎2.11%‎</w:t>
            </w:r>
            <w:r>
              <w:rPr>
                <w:rFonts w:ascii="Arial" w:hAnsi="Arial" w:cs="Arial" w:eastAsia="Arial"/>
                <w:color w:val="0E1E3A"/>
                <w:sz w:val="17"/>
                <w:szCs w:val="17"/>
                <w:rtl/>
              </w:rPr>
              <w:t xml:space="preserve">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2022م.</w:t>
      </w:r>
      <w:r>
        <w:br/>
      </w:r>
      <w:r>
        <w:rPr>
          <w:rFonts w:ascii="Arial" w:hAnsi="Arial" w:cs="Arial" w:eastAsia="Arial"/>
          <w:color w:val="5A6478"/>
          <w:sz w:val="17"/>
          <w:szCs w:val="17"/>
          <w:rtl/>
        </w:rPr>
        <w:t>** كما في تاريخ 30 مارس 2023م.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‎8.39%‎</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‎2.11%‎</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من بداية السنة حتى تاريخ 30 مارس 2023م</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w:t>
            </w:r>
          </w:p>
        </w:tc>
        <w:tc>
          <w:tcPr>
            <w:tcW w:type="dxa" w:w="1663"/>
          </w:tcPr>
          <w:p>
            <w:pPr>
              <w:bidi w:val="1"/>
              <w:spacing w:before="0" w:after="0" w:line="264" w:lineRule="auto"/>
            </w:pPr>
            <w:r>
              <w:rPr>
                <w:rFonts w:ascii="Arial" w:hAnsi="Arial" w:cs="Arial" w:eastAsia="Arial"/>
                <w:color w:val="0E1E3A"/>
                <w:sz w:val="17"/>
                <w:szCs w:val="17"/>
              </w:rPr>
              <w:t>‎1.23%‎</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Pr>
              <w:t>‎1.23%‎</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Pr>
              <w:t>‎3.48%‎</w:t>
            </w:r>
            <w:r>
              <w:rPr>
                <w:rFonts w:ascii="Arial" w:hAnsi="Arial" w:cs="Arial" w:eastAsia="Arial"/>
                <w:color w:val="0E1E3A"/>
                <w:sz w:val="17"/>
                <w:szCs w:val="17"/>
                <w:rtl/>
              </w:rPr>
              <w:t>***</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‎2.11%‎</w:t>
            </w:r>
          </w:p>
        </w:tc>
        <w:tc>
          <w:tcPr>
            <w:tcW w:type="dxa" w:w="1663"/>
          </w:tcPr>
          <w:p>
            <w:pPr>
              <w:bidi w:val="1"/>
              <w:spacing w:before="0" w:after="0" w:line="264" w:lineRule="auto"/>
            </w:pPr>
            <w:r>
              <w:rPr>
                <w:rFonts w:ascii="Arial" w:hAnsi="Arial" w:cs="Arial" w:eastAsia="Arial"/>
                <w:color w:val="0E1E3A"/>
                <w:sz w:val="17"/>
                <w:szCs w:val="17"/>
              </w:rPr>
              <w:t>‎2.11%‎</w:t>
            </w:r>
          </w:p>
        </w:tc>
        <w:tc>
          <w:tcPr>
            <w:tcW w:type="dxa" w:w="1663"/>
          </w:tcPr>
          <w:p>
            <w:pPr>
              <w:bidi w:val="1"/>
              <w:spacing w:before="0" w:after="0" w:line="264" w:lineRule="auto"/>
            </w:pPr>
            <w:r>
              <w:rPr>
                <w:rFonts w:ascii="Arial" w:hAnsi="Arial" w:cs="Arial" w:eastAsia="Arial"/>
                <w:color w:val="0E1E3A"/>
                <w:sz w:val="17"/>
                <w:szCs w:val="17"/>
              </w:rPr>
              <w:t>‎7.58%‎</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‎-0.88%‎</w:t>
            </w:r>
          </w:p>
        </w:tc>
        <w:tc>
          <w:tcPr>
            <w:tcW w:type="dxa" w:w="1663"/>
          </w:tcPr>
          <w:p>
            <w:pPr>
              <w:bidi w:val="1"/>
              <w:spacing w:before="0" w:after="0" w:line="264" w:lineRule="auto"/>
            </w:pPr>
            <w:r>
              <w:rPr>
                <w:rFonts w:ascii="Arial" w:hAnsi="Arial" w:cs="Arial" w:eastAsia="Arial"/>
                <w:color w:val="0E1E3A"/>
                <w:sz w:val="17"/>
                <w:szCs w:val="17"/>
              </w:rPr>
              <w:t>‎-0.88%‎</w:t>
            </w:r>
          </w:p>
        </w:tc>
        <w:tc>
          <w:tcPr>
            <w:tcW w:type="dxa" w:w="1663"/>
          </w:tcPr>
          <w:p>
            <w:pPr>
              <w:bidi w:val="1"/>
              <w:spacing w:before="0" w:after="0" w:line="264" w:lineRule="auto"/>
            </w:pPr>
            <w:r>
              <w:rPr>
                <w:rFonts w:ascii="Arial" w:hAnsi="Arial" w:cs="Arial" w:eastAsia="Arial"/>
                <w:color w:val="0E1E3A"/>
                <w:sz w:val="17"/>
                <w:szCs w:val="17"/>
              </w:rPr>
              <w:t>‎-4.10%‎</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31 ديسمبر 2022م إلى 30 مارس 2023م متضمنة التوزيعات النقدية بنسبة </w:t>
      </w:r>
      <w:r>
        <w:rPr>
          <w:rFonts w:ascii="Arial" w:hAnsi="Arial" w:cs="Arial" w:eastAsia="Arial"/>
          <w:color w:val="5A6478"/>
          <w:sz w:val="17"/>
          <w:szCs w:val="17"/>
        </w:rPr>
        <w:t>‎2.8%‎</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31 ديسمبر 2022م إلى 30 مارس 2023م متضمنة التوزيعات النقدية بنسبة </w:t>
      </w:r>
      <w:r>
        <w:rPr>
          <w:rFonts w:ascii="Arial" w:hAnsi="Arial" w:cs="Arial" w:eastAsia="Arial"/>
          <w:color w:val="5A6478"/>
          <w:sz w:val="17"/>
          <w:szCs w:val="17"/>
        </w:rPr>
        <w:t>‎2.8%‎</w:t>
      </w:r>
      <w:r>
        <w:rPr>
          <w:rFonts w:ascii="Arial" w:hAnsi="Arial" w:cs="Arial" w:eastAsia="Arial"/>
          <w:color w:val="5A6478"/>
          <w:sz w:val="17"/>
          <w:szCs w:val="17"/>
          <w:rtl/>
        </w:rPr>
        <w:t>.</w:t>
      </w:r>
      <w:r>
        <w:br/>
      </w:r>
      <w:r>
        <w:rPr>
          <w:rFonts w:ascii="Arial" w:hAnsi="Arial" w:cs="Arial" w:eastAsia="Arial"/>
          <w:color w:val="5A6478"/>
          <w:sz w:val="17"/>
          <w:szCs w:val="17"/>
          <w:rtl/>
        </w:rPr>
        <w:t xml:space="preserve">*** عن الفترة من 30 مارس 2202م إلى 30 مارس 2023م متضمنة توزيعات نقدية بنسبة </w:t>
      </w:r>
      <w:r>
        <w:rPr>
          <w:rFonts w:ascii="Arial" w:hAnsi="Arial" w:cs="Arial" w:eastAsia="Arial"/>
          <w:color w:val="5A6478"/>
          <w:sz w:val="17"/>
          <w:szCs w:val="17"/>
        </w:rPr>
        <w:t>‎5.4%‎</w:t>
      </w:r>
      <w:r>
        <w:rPr>
          <w:rFonts w:ascii="Arial" w:hAnsi="Arial" w:cs="Arial" w:eastAsia="Arial"/>
          <w:color w:val="5A6478"/>
          <w:sz w:val="17"/>
          <w:szCs w:val="17"/>
          <w:rtl/>
        </w:rPr>
        <w:t>.</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3"/>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من بداية السنة حتى تاريخ 30 مارس 2023م</w:t>
            </w:r>
            <w:r>
              <w:rPr>
                <w:rFonts w:ascii="Arial" w:hAnsi="Arial" w:cs="Arial" w:eastAsia="Arial"/>
                <w:b/>
                <w:bCs/>
                <w:color w:val="FFFFFF"/>
                <w:sz w:val="17"/>
                <w:szCs w:val="17"/>
                <w:rtl/>
              </w:rPr>
              <w:t>2</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r>
              <w:rPr>
                <w:rFonts w:ascii="Arial" w:hAnsi="Arial" w:cs="Arial" w:eastAsia="Arial"/>
                <w:b/>
                <w:bCs/>
                <w:color w:val="FFFFFF"/>
                <w:sz w:val="17"/>
                <w:szCs w:val="17"/>
                <w:rtl/>
              </w:rPr>
              <w:t>3</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4</w:t>
            </w:r>
          </w:p>
        </w:tc>
        <w:tc>
          <w:tcPr>
            <w:tcW w:type="dxa" w:w="1663"/>
          </w:tcPr>
          <w:p>
            <w:pPr>
              <w:bidi w:val="1"/>
              <w:spacing w:before="0" w:after="0" w:line="264" w:lineRule="auto"/>
            </w:pPr>
            <w:r>
              <w:rPr>
                <w:rFonts w:ascii="Arial" w:hAnsi="Arial" w:cs="Arial" w:eastAsia="Arial"/>
                <w:color w:val="0E1E3A"/>
                <w:sz w:val="17"/>
                <w:szCs w:val="17"/>
                <w:rtl/>
              </w:rPr>
              <w:t>28.87</w:t>
            </w:r>
          </w:p>
        </w:tc>
        <w:tc>
          <w:tcPr>
            <w:tcW w:type="dxa" w:w="1663"/>
          </w:tcPr>
          <w:p>
            <w:pPr>
              <w:bidi w:val="1"/>
              <w:spacing w:before="0" w:after="0" w:line="264" w:lineRule="auto"/>
            </w:pPr>
            <w:r>
              <w:rPr>
                <w:rFonts w:ascii="Arial" w:hAnsi="Arial" w:cs="Arial" w:eastAsia="Arial"/>
                <w:color w:val="0E1E3A"/>
                <w:sz w:val="17"/>
                <w:szCs w:val="17"/>
                <w:rtl/>
              </w:rPr>
              <w:t>28.87</w:t>
            </w:r>
          </w:p>
        </w:tc>
        <w:tc>
          <w:tcPr>
            <w:tcW w:type="dxa" w:w="1663"/>
          </w:tcPr>
          <w:p>
            <w:pPr>
              <w:bidi w:val="1"/>
              <w:spacing w:before="0" w:after="0" w:line="264" w:lineRule="auto"/>
            </w:pPr>
            <w:r>
              <w:rPr>
                <w:rFonts w:ascii="Arial" w:hAnsi="Arial" w:cs="Arial" w:eastAsia="Arial"/>
                <w:color w:val="0E1E3A"/>
                <w:sz w:val="17"/>
                <w:szCs w:val="17"/>
                <w:rtl/>
              </w:rPr>
              <w:t>19.85</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5</w:t>
            </w:r>
          </w:p>
        </w:tc>
        <w:tc>
          <w:tcPr>
            <w:tcW w:type="dxa" w:w="1663"/>
          </w:tcPr>
          <w:p>
            <w:pPr>
              <w:bidi w:val="1"/>
              <w:spacing w:before="0" w:after="0" w:line="264" w:lineRule="auto"/>
            </w:pPr>
            <w:r>
              <w:rPr>
                <w:rFonts w:ascii="Arial" w:hAnsi="Arial" w:cs="Arial" w:eastAsia="Arial"/>
                <w:color w:val="0E1E3A"/>
                <w:sz w:val="17"/>
                <w:szCs w:val="17"/>
                <w:rtl/>
              </w:rPr>
              <w:t>1.61</w:t>
            </w:r>
          </w:p>
        </w:tc>
        <w:tc>
          <w:tcPr>
            <w:tcW w:type="dxa" w:w="1663"/>
          </w:tcPr>
          <w:p>
            <w:pPr>
              <w:bidi w:val="1"/>
              <w:spacing w:before="0" w:after="0" w:line="264" w:lineRule="auto"/>
            </w:pPr>
            <w:r>
              <w:rPr>
                <w:rFonts w:ascii="Arial" w:hAnsi="Arial" w:cs="Arial" w:eastAsia="Arial"/>
                <w:color w:val="0E1E3A"/>
                <w:sz w:val="17"/>
                <w:szCs w:val="17"/>
                <w:rtl/>
              </w:rPr>
              <w:t>1.61</w:t>
            </w:r>
          </w:p>
        </w:tc>
        <w:tc>
          <w:tcPr>
            <w:tcW w:type="dxa" w:w="1663"/>
          </w:tcPr>
          <w:p>
            <w:pPr>
              <w:bidi w:val="1"/>
              <w:spacing w:before="0" w:after="0" w:line="264" w:lineRule="auto"/>
            </w:pPr>
            <w:r>
              <w:rPr>
                <w:rFonts w:ascii="Arial" w:hAnsi="Arial" w:cs="Arial" w:eastAsia="Arial"/>
                <w:color w:val="0E1E3A"/>
                <w:sz w:val="17"/>
                <w:szCs w:val="17"/>
                <w:rtl/>
              </w:rPr>
              <w:t>-1.22</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6</w:t>
            </w:r>
          </w:p>
        </w:tc>
        <w:tc>
          <w:tcPr>
            <w:tcW w:type="dxa" w:w="1663"/>
          </w:tcPr>
          <w:p>
            <w:pPr>
              <w:bidi w:val="1"/>
              <w:spacing w:before="0" w:after="0" w:line="264" w:lineRule="auto"/>
            </w:pPr>
            <w:r>
              <w:rPr>
                <w:rFonts w:ascii="Arial" w:hAnsi="Arial" w:cs="Arial" w:eastAsia="Arial"/>
                <w:color w:val="0E1E3A"/>
                <w:sz w:val="17"/>
                <w:szCs w:val="17"/>
                <w:rtl/>
              </w:rPr>
              <w:t>28.86</w:t>
            </w:r>
          </w:p>
        </w:tc>
        <w:tc>
          <w:tcPr>
            <w:tcW w:type="dxa" w:w="1663"/>
          </w:tcPr>
          <w:p>
            <w:pPr>
              <w:bidi w:val="1"/>
              <w:spacing w:before="0" w:after="0" w:line="264" w:lineRule="auto"/>
            </w:pPr>
            <w:r>
              <w:rPr>
                <w:rFonts w:ascii="Arial" w:hAnsi="Arial" w:cs="Arial" w:eastAsia="Arial"/>
                <w:color w:val="0E1E3A"/>
                <w:sz w:val="17"/>
                <w:szCs w:val="17"/>
                <w:rtl/>
              </w:rPr>
              <w:t>28.86</w:t>
            </w:r>
          </w:p>
        </w:tc>
        <w:tc>
          <w:tcPr>
            <w:tcW w:type="dxa" w:w="1663"/>
          </w:tcPr>
          <w:p>
            <w:pPr>
              <w:bidi w:val="1"/>
              <w:spacing w:before="0" w:after="0" w:line="264" w:lineRule="auto"/>
            </w:pPr>
            <w:r>
              <w:rPr>
                <w:rFonts w:ascii="Arial" w:hAnsi="Arial" w:cs="Arial" w:eastAsia="Arial"/>
                <w:color w:val="0E1E3A"/>
                <w:sz w:val="17"/>
                <w:szCs w:val="17"/>
                <w:rtl/>
              </w:rPr>
              <w:t>19.84</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7</w:t>
            </w:r>
          </w:p>
        </w:tc>
        <w:tc>
          <w:tcPr>
            <w:tcW w:type="dxa" w:w="1663"/>
          </w:tcPr>
          <w:p>
            <w:pPr>
              <w:bidi w:val="1"/>
              <w:spacing w:before="0" w:after="0" w:line="264" w:lineRule="auto"/>
            </w:pPr>
            <w:r>
              <w:rPr>
                <w:rFonts w:ascii="Arial" w:hAnsi="Arial" w:cs="Arial" w:eastAsia="Arial"/>
                <w:color w:val="0E1E3A"/>
                <w:sz w:val="17"/>
                <w:szCs w:val="17"/>
                <w:rtl/>
              </w:rPr>
              <w:t>2.41</w:t>
            </w:r>
          </w:p>
        </w:tc>
        <w:tc>
          <w:tcPr>
            <w:tcW w:type="dxa" w:w="1663"/>
          </w:tcPr>
          <w:p>
            <w:pPr>
              <w:bidi w:val="1"/>
              <w:spacing w:before="0" w:after="0" w:line="264" w:lineRule="auto"/>
            </w:pPr>
            <w:r>
              <w:rPr>
                <w:rFonts w:ascii="Arial" w:hAnsi="Arial" w:cs="Arial" w:eastAsia="Arial"/>
                <w:color w:val="0E1E3A"/>
                <w:sz w:val="17"/>
                <w:szCs w:val="17"/>
                <w:rtl/>
              </w:rPr>
              <w:t>2.41</w:t>
            </w:r>
          </w:p>
        </w:tc>
        <w:tc>
          <w:tcPr>
            <w:tcW w:type="dxa" w:w="1663"/>
          </w:tcPr>
          <w:p>
            <w:pPr>
              <w:bidi w:val="1"/>
              <w:spacing w:before="0" w:after="0" w:line="264" w:lineRule="auto"/>
            </w:pPr>
            <w:r>
              <w:rPr>
                <w:rFonts w:ascii="Arial" w:hAnsi="Arial" w:cs="Arial" w:eastAsia="Arial"/>
                <w:color w:val="0E1E3A"/>
                <w:sz w:val="17"/>
                <w:szCs w:val="17"/>
                <w:rtl/>
              </w:rPr>
              <w:t>2.65</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8</w:t>
            </w:r>
          </w:p>
        </w:tc>
        <w:tc>
          <w:tcPr>
            <w:tcW w:type="dxa" w:w="1663"/>
          </w:tcPr>
          <w:p>
            <w:pPr>
              <w:bidi w:val="1"/>
              <w:spacing w:before="0" w:after="0" w:line="264" w:lineRule="auto"/>
            </w:pPr>
            <w:r>
              <w:rPr>
                <w:rFonts w:ascii="Arial" w:hAnsi="Arial" w:cs="Arial" w:eastAsia="Arial"/>
                <w:color w:val="0E1E3A"/>
                <w:sz w:val="17"/>
                <w:szCs w:val="17"/>
                <w:rtl/>
              </w:rPr>
              <w:t>0.33</w:t>
            </w:r>
          </w:p>
        </w:tc>
        <w:tc>
          <w:tcPr>
            <w:tcW w:type="dxa" w:w="1663"/>
          </w:tcPr>
          <w:p>
            <w:pPr>
              <w:bidi w:val="1"/>
              <w:spacing w:before="0" w:after="0" w:line="264" w:lineRule="auto"/>
            </w:pPr>
            <w:r>
              <w:rPr>
                <w:rFonts w:ascii="Arial" w:hAnsi="Arial" w:cs="Arial" w:eastAsia="Arial"/>
                <w:color w:val="0E1E3A"/>
                <w:sz w:val="17"/>
                <w:szCs w:val="17"/>
                <w:rtl/>
              </w:rPr>
              <w:t>0.33</w:t>
            </w:r>
          </w:p>
        </w:tc>
        <w:tc>
          <w:tcPr>
            <w:tcW w:type="dxa" w:w="1663"/>
          </w:tcPr>
          <w:p>
            <w:pPr>
              <w:bidi w:val="1"/>
              <w:spacing w:before="0" w:after="0" w:line="264" w:lineRule="auto"/>
            </w:pPr>
            <w:r>
              <w:rPr>
                <w:rFonts w:ascii="Arial" w:hAnsi="Arial" w:cs="Arial" w:eastAsia="Arial"/>
                <w:color w:val="0E1E3A"/>
                <w:sz w:val="17"/>
                <w:szCs w:val="17"/>
                <w:rtl/>
              </w:rPr>
              <w:t>-0.29</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9</w:t>
            </w:r>
          </w:p>
        </w:tc>
        <w:tc>
          <w:tcPr>
            <w:tcW w:type="dxa" w:w="1663"/>
          </w:tcPr>
          <w:p>
            <w:pPr>
              <w:bidi w:val="1"/>
              <w:spacing w:before="0" w:after="0" w:line="264" w:lineRule="auto"/>
            </w:pPr>
            <w:r>
              <w:rPr>
                <w:rFonts w:ascii="Arial" w:hAnsi="Arial" w:cs="Arial" w:eastAsia="Arial"/>
                <w:color w:val="0E1E3A"/>
                <w:sz w:val="17"/>
                <w:szCs w:val="17"/>
                <w:rtl/>
              </w:rPr>
              <w:t>1.16</w:t>
            </w:r>
          </w:p>
        </w:tc>
        <w:tc>
          <w:tcPr>
            <w:tcW w:type="dxa" w:w="1663"/>
          </w:tcPr>
          <w:p>
            <w:pPr>
              <w:bidi w:val="1"/>
              <w:spacing w:before="0" w:after="0" w:line="264" w:lineRule="auto"/>
            </w:pPr>
            <w:r>
              <w:rPr>
                <w:rFonts w:ascii="Arial" w:hAnsi="Arial" w:cs="Arial" w:eastAsia="Arial"/>
                <w:color w:val="0E1E3A"/>
                <w:sz w:val="17"/>
                <w:szCs w:val="17"/>
                <w:rtl/>
              </w:rPr>
              <w:t>1.16</w:t>
            </w:r>
          </w:p>
        </w:tc>
        <w:tc>
          <w:tcPr>
            <w:tcW w:type="dxa" w:w="1663"/>
          </w:tcPr>
          <w:p>
            <w:pPr>
              <w:bidi w:val="1"/>
              <w:spacing w:before="0" w:after="0" w:line="264" w:lineRule="auto"/>
            </w:pPr>
            <w:r>
              <w:rPr>
                <w:rFonts w:ascii="Arial" w:hAnsi="Arial" w:cs="Arial" w:eastAsia="Arial"/>
                <w:color w:val="0E1E3A"/>
                <w:sz w:val="17"/>
                <w:szCs w:val="17"/>
                <w:rtl/>
              </w:rPr>
              <w:t>-1.49</w:t>
            </w:r>
          </w:p>
        </w:tc>
        <w:tc>
          <w:tcPr>
            <w:tcW w:type="dxa" w:w="1663"/>
          </w:tcPr>
          <w:p>
            <w:pPr>
              <w:bidi w:val="1"/>
              <w:spacing w:before="0" w:after="0" w:line="264" w:lineRule="auto"/>
            </w:pPr>
            <w:r>
              <w:rPr>
                <w:rFonts w:ascii="Arial" w:hAnsi="Arial" w:cs="Arial" w:eastAsia="Arial"/>
                <w:color w:val="0E1E3A"/>
                <w:sz w:val="17"/>
                <w:szCs w:val="17"/>
                <w:rtl/>
              </w:rPr>
              <w:t>لاينطبق</w:t>
            </w:r>
          </w:p>
        </w:tc>
        <w:tc>
          <w:tcPr>
            <w:tcW w:type="dxa" w:w="1663"/>
          </w:tcPr>
          <w:p>
            <w:pPr>
              <w:bidi w:val="1"/>
              <w:spacing w:before="0" w:after="0" w:line="264" w:lineRule="auto"/>
            </w:pPr>
            <w:r>
              <w:rPr>
                <w:rFonts w:ascii="Arial" w:hAnsi="Arial" w:cs="Arial" w:eastAsia="Arial"/>
                <w:color w:val="0E1E3A"/>
                <w:sz w:val="17"/>
                <w:szCs w:val="17"/>
                <w:rtl/>
              </w:rPr>
              <w:t>لاينطبق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31 ديسمبر 2022م إلى 30 مارس 2023م.</w:t>
      </w:r>
      <w:r>
        <w:br/>
      </w:r>
      <w:r>
        <w:rPr>
          <w:rFonts w:ascii="Arial" w:hAnsi="Arial" w:cs="Arial" w:eastAsia="Arial"/>
          <w:color w:val="5A6478"/>
          <w:sz w:val="17"/>
          <w:szCs w:val="17"/>
          <w:rtl/>
        </w:rPr>
        <w:t>2. عن الفترة من 31 ديسمبر 2022م إلى 30 مارس 2023م.</w:t>
      </w:r>
      <w:r>
        <w:br/>
      </w:r>
      <w:r>
        <w:rPr>
          <w:rFonts w:ascii="Arial" w:hAnsi="Arial" w:cs="Arial" w:eastAsia="Arial"/>
          <w:color w:val="5A6478"/>
          <w:sz w:val="17"/>
          <w:szCs w:val="17"/>
          <w:rtl/>
        </w:rPr>
        <w:t>3. عن الفترة من 30 مارس 2022م إلى 30 مارس 2023م.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4"/>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يوجد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يبدو أن طلب الشركات الأمريكية على المعدات الإنتاجية لم يتأثر سلبًا بالارتفاع الثابت في أسعار الفائدة على القروض قصيرة الأجل والضغوط التضخمية المستمرة.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ووفقًا لتقرير التوقعات المستقبلية لتأجير المعدات للعام 2023 الذي نشرته الجمعية الأمريكية لتأجير وتمويل المعدات، اشتملت قطاعات المعدات الخمسة الأعلى أداءً للعام 2023 على: البناء والإنشاءات، والآلات، والمعدات الطبية، والشاحنات/القاطرات، والتقنيات المتطورة/أجهزة الكمبيوتر. والجدير بالذكر أن قطاع البناء والإنشاءات كان الأفضل وفقًا للدراسة التي أجريت، وحل في المرتبة الأولى للسنة العاشرة على التوالي. ولا تزال التوقعات المستقبلية لقطاع البناء والإنشاءات جيدة كما يتبين من الطلب المرتفع على مشاريع الطرق السريعة والمشاريع التجارية والمدنية.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إلى جانب ذلك، أظهر مؤشر التأجير والتمويل الشهري (أم أل أف آي-25) الذي تصدره جمعية تأجير وتمويل المعدات في الولايات المتحدة الأمريكية ويشتمل على بيانات النشاط الاقتصادي لخمس وعشرين شركة تمثل شرائحًا مختلفة من قطاع تمويل المعدات الذي تقدر قيمته بما مجموعه 1 ترليون دولار أمريكي، أن الحجم العام للأعمال الجديدة لشركات المؤشر لشهر فبراير 2023 قد بلغ 7.9 مليار دولار أمريكي، بارتفاع بنسبة </w:t>
      </w:r>
      <w:r>
        <w:rPr>
          <w:rFonts w:ascii="Arial" w:hAnsi="Arial" w:cs="Arial" w:eastAsia="Arial"/>
          <w:color w:val="0E1E3A"/>
          <w:sz w:val="20"/>
          <w:szCs w:val="20"/>
        </w:rPr>
        <w:t>‎11%‎</w:t>
      </w:r>
      <w:r>
        <w:rPr>
          <w:rFonts w:ascii="Arial" w:hAnsi="Arial" w:cs="Arial" w:eastAsia="Arial"/>
          <w:color w:val="0E1E3A"/>
          <w:sz w:val="20"/>
          <w:szCs w:val="20"/>
          <w:rtl/>
        </w:rPr>
        <w:t xml:space="preserve"> مقارنةً بحجم الأعمال الجديدة لشهر فبراير 2022.</w:t>
      </w:r>
    </w:p>
    <w:p>
      <w:pPr>
        <w:pStyle w:val="Heading3"/>
        <w:keepNext/>
        <w:bidi w:val="1"/>
        <w:spacing w:before="160" w:after="100" w:line="300" w:lineRule="auto"/>
      </w:pPr>
      <w:r>
        <w:rPr>
          <w:rFonts w:ascii="Arial" w:hAnsi="Arial" w:cs="Arial" w:eastAsia="Arial"/>
          <w:b/>
          <w:bCs/>
          <w:color w:val="12284B"/>
          <w:sz w:val="22"/>
          <w:szCs w:val="22"/>
          <w:rtl/>
        </w:rPr>
        <w:t>نظرة على قطاع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أعلن مؤتمر الأمم المتحدة للتجارة والتنمية (الأونكتاد) أن حجم التجارة العالمية قد وصل إلى مستوى قياسي غير مسبوق في العام 2022 عند 32 ترليون دولار أمريكي - حيث بلغ حجم التجارة في السلع حوالي 25 ترليون دولار أمريكي (بزيادة تقدر بحوالي </w:t>
      </w:r>
      <w:r>
        <w:rPr>
          <w:rFonts w:ascii="Arial" w:hAnsi="Arial" w:cs="Arial" w:eastAsia="Arial"/>
          <w:color w:val="0E1E3A"/>
          <w:sz w:val="20"/>
          <w:szCs w:val="20"/>
        </w:rPr>
        <w:t>‎10%‎</w:t>
      </w:r>
      <w:r>
        <w:rPr>
          <w:rFonts w:ascii="Arial" w:hAnsi="Arial" w:cs="Arial" w:eastAsia="Arial"/>
          <w:color w:val="0E1E3A"/>
          <w:sz w:val="20"/>
          <w:szCs w:val="20"/>
          <w:rtl/>
        </w:rPr>
        <w:t xml:space="preserve"> مقارنةً بالعام 2021)، بينما بلغ حجم التجارة في الخدمات حوالي 7 ترليون دولار أمريكي (بزيادة تقدر بحوالي </w:t>
      </w:r>
      <w:r>
        <w:rPr>
          <w:rFonts w:ascii="Arial" w:hAnsi="Arial" w:cs="Arial" w:eastAsia="Arial"/>
          <w:color w:val="0E1E3A"/>
          <w:sz w:val="20"/>
          <w:szCs w:val="20"/>
        </w:rPr>
        <w:t>‎15%‎</w:t>
      </w:r>
      <w:r>
        <w:rPr>
          <w:rFonts w:ascii="Arial" w:hAnsi="Arial" w:cs="Arial" w:eastAsia="Arial"/>
          <w:color w:val="0E1E3A"/>
          <w:sz w:val="20"/>
          <w:szCs w:val="20"/>
          <w:rtl/>
        </w:rPr>
        <w:t xml:space="preserve"> مقارنةً بالعام السابق).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كانت المستويات القياسية ناتجة بشكل رئيسي عن النمو القوي في النصف الأول من العام 2022، ولكن نظرًا لتدهور الأوضاع الاقتصادية وتزايد الضبابية وعدم اليقين، أصبح معدل النمو سلبيًا في النصف الثاني 2022، ومن المتوقع أن يصل إلى مرحلة ركود في النصف الأول من العام 2023.</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من جهة أخرى، فإن البنك الدولي يربط فجوة تمويل التجارة العالمية وكتلة السيولة النقدية المتاحة مقارنةً بالمبلغ الأمثل المطلوب الذي تحتاجه الشركات، والذي بلغ 1.5 ترليون دولار أمريكي في العام 2020 للدول النامية. غير أن الانخفاض قد تفاقم مع انتشار الجائحة، ويتوقع البنك الآسيوي للتنمية أن تزداد الفجوة في صفقات التمويل التجاري إلى ما لا يقل عن 2 ترليون دولار أمريكي في العام 2022.</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لوكالة فيتش رايتنغز، وصل حجم الصكوك المتداولة عالميًا إلى 765.3 مليار دولار أمريكي في العام 2022، بارتفاع بنسبة </w:t>
      </w:r>
      <w:r>
        <w:rPr>
          <w:rFonts w:ascii="Arial" w:hAnsi="Arial" w:cs="Arial" w:eastAsia="Arial"/>
          <w:color w:val="0E1E3A"/>
          <w:sz w:val="20"/>
          <w:szCs w:val="20"/>
        </w:rPr>
        <w:t>‎7.6%‎</w:t>
      </w:r>
      <w:r>
        <w:rPr>
          <w:rFonts w:ascii="Arial" w:hAnsi="Arial" w:cs="Arial" w:eastAsia="Arial"/>
          <w:color w:val="0E1E3A"/>
          <w:sz w:val="20"/>
          <w:szCs w:val="20"/>
          <w:rtl/>
        </w:rPr>
        <w:t xml:space="preserve"> عما كان عليه قبل سنة. ولا يزال المصدرون الرئيسيون يقتصرون على الحكومات والكيانات متعددة الأطراف.</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وحسبما أعلنته ريفينتيف Refinitiv، تجاوز حجم إصدارات الصكوك العالمية توقعات الأسواق ووصل في العام 2022 إلى 193.9 مليار دولار أمريكي (144.4 مليار دولار أمريكي للإصدارات الجديدة والباقي عبارة عن إصدرات جديدة)، على الرغم من رفع أسعار الفائدة بشكل متتالي لعدد قياسي من المرات خلال العام 2022. وكان العام 2022 ثاني أفضل سنة بعد أن وصل حجم الإصدارات إلى 196.5 مليار دولار أمريكي في العام 2021.</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أما من حيث الأداء، وبعد أن شهدت أسواق الصكوك العالمية أسوأ سنة لها منذ عشرات السنين في العام 2022، تعافت سوق الصكوك بشكل بسيط حتى مارس 2023، وحقق مؤشر داو جونز للصكوك (بدون إعادة استثمار) حوالي </w:t>
      </w:r>
      <w:r>
        <w:rPr>
          <w:rFonts w:ascii="Arial" w:hAnsi="Arial" w:cs="Arial" w:eastAsia="Arial"/>
          <w:color w:val="0E1E3A"/>
          <w:sz w:val="20"/>
          <w:szCs w:val="20"/>
        </w:rPr>
        <w:t>‎2.1%‎</w:t>
      </w:r>
      <w:r>
        <w:rPr>
          <w:rFonts w:ascii="Arial" w:hAnsi="Arial" w:cs="Arial" w:eastAsia="Arial"/>
          <w:color w:val="0E1E3A"/>
          <w:sz w:val="20"/>
          <w:szCs w:val="20"/>
          <w:rtl/>
        </w:rPr>
        <w:t xml:space="preserve"> من بداية السنة حتى تاريخه، بينما حقق مؤشر داو جونز </w:t>
      </w:r>
      <w:r>
        <w:rPr>
          <w:rFonts w:ascii="Arial" w:hAnsi="Arial" w:cs="Arial" w:eastAsia="Arial"/>
          <w:color w:val="0E1E3A"/>
          <w:sz w:val="20"/>
          <w:szCs w:val="20"/>
        </w:rPr>
        <w:t>‎1.2%‎</w:t>
      </w:r>
      <w:r>
        <w:rPr>
          <w:rFonts w:ascii="Arial" w:hAnsi="Arial" w:cs="Arial" w:eastAsia="Arial"/>
          <w:color w:val="0E1E3A"/>
          <w:sz w:val="20"/>
          <w:szCs w:val="20"/>
          <w:rtl/>
        </w:rPr>
        <w:t xml:space="preserve">، وحقق مؤشر ستاندرد آند بورز للصكوك الخليجية مكاسبًا بنسبة </w:t>
      </w:r>
      <w:r>
        <w:rPr>
          <w:rFonts w:ascii="Arial" w:hAnsi="Arial" w:cs="Arial" w:eastAsia="Arial"/>
          <w:color w:val="0E1E3A"/>
          <w:sz w:val="20"/>
          <w:szCs w:val="20"/>
        </w:rPr>
        <w:t>‎1.2%‎</w:t>
      </w:r>
      <w:r>
        <w:rPr>
          <w:rFonts w:ascii="Arial" w:hAnsi="Arial" w:cs="Arial" w:eastAsia="Arial"/>
          <w:color w:val="0E1E3A"/>
          <w:sz w:val="20"/>
          <w:szCs w:val="20"/>
          <w:rtl/>
        </w:rPr>
        <w:t xml:space="preserve"> من بداية السنة حتى تاريخه.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 *</w:t>
      </w:r>
    </w:p>
    <w:p>
      <w:pPr>
        <w:bidi w:val="1"/>
        <w:spacing w:before="0" w:after="80" w:line="240" w:lineRule="auto"/>
        <w:jc w:val="center"/>
      </w:pPr>
      <w:r>
        <w:drawing>
          <wp:inline xmlns:a="http://schemas.openxmlformats.org/drawingml/2006/main" xmlns:pic="http://schemas.openxmlformats.org/drawingml/2006/picture">
            <wp:extent cx="6336000" cy="2816000"/>
            <wp:docPr id="24" name="Picture 9047"/>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30 مارس 2023م.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49"/>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الأول 2023م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