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4"/>
            <wp:cNvGraphicFramePr/>
            <a:graphic>
              <a:graphicData uri="http://schemas.openxmlformats.org/drawingml/2006/picture">
                <pic:pic>
                  <pic:nvPicPr>
                    <pic:cNvPr id="9024" name="banner9024.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9.7877</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510,413,435</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45,716,577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8.96%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9.88%</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0.38%</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2023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2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The graph shows the largest investments in the Fund and the sectoral distribution of investments together.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510,413,435</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462,776,898</w:t>
            </w:r>
          </w:p>
        </w:tc>
      </w:tr>
      <w:tr>
        <w:tc>
          <w:tcPr>
            <w:tcW w:type="dxa" w:w="3118"/>
            <w:shd w:val="clear" w:color="auto" w:fill="F3F6FB"/>
          </w:tcPr>
          <w:p>
            <w:pPr>
              <w:spacing w:before="0" w:after="0" w:line="276" w:lineRule="auto"/>
            </w:pPr>
            <w:r>
              <w:rPr>
                <w:rFonts w:ascii="Arial" w:hAnsi="Arial" w:cs="Arial" w:eastAsia="Arial"/>
                <w:color w:val="5A6478"/>
                <w:sz w:val="18"/>
                <w:szCs w:val="18"/>
              </w:rPr>
              <w:t>AMOUNT AND 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0.68%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0.58%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0.74%</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COSTS AND FEES FOR THE REPORTING QUARTER</w:t>
            </w:r>
          </w:p>
        </w:tc>
        <w:tc>
          <w:tcPr>
            <w:tcW w:type="dxa" w:w="6860"/>
          </w:tcPr>
          <w:p>
            <w:pPr>
              <w:spacing w:before="0" w:after="0" w:line="276" w:lineRule="auto"/>
            </w:pPr>
            <w:r>
              <w:rPr>
                <w:rFonts w:ascii="Arial" w:hAnsi="Arial" w:cs="Arial" w:eastAsia="Arial"/>
                <w:b/>
                <w:bCs/>
                <w:color w:val="0E1E3A"/>
                <w:sz w:val="18"/>
                <w:szCs w:val="18"/>
              </w:rPr>
              <w:t>SAR 3,464,888</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2023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costs are all Fund fees and expenses, including financing costs.</w:t>
      </w:r>
      <w:r>
        <w:br/>
      </w:r>
      <w:r>
        <w:rPr>
          <w:rFonts w:ascii="Arial" w:hAnsi="Arial" w:cs="Arial" w:eastAsia="Arial"/>
          <w:color w:val="5A6478"/>
          <w:sz w:val="17"/>
          <w:szCs w:val="17"/>
        </w:rPr>
        <w:t>**** Fund average NAV = SAR 466,507,341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31"/>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148,210,653</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178,684,868</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32,592,278</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121,010,436</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29,915,201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3"/>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4"/>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342,317,843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2022</w:t>
            </w:r>
          </w:p>
        </w:tc>
        <w:tc>
          <w:tcPr>
            <w:tcW w:type="dxa" w:w="6860"/>
          </w:tcPr>
          <w:p>
            <w:pPr>
              <w:spacing w:before="0" w:after="0" w:line="276" w:lineRule="auto"/>
            </w:pPr>
            <w:r>
              <w:rPr>
                <w:rFonts w:ascii="Arial" w:hAnsi="Arial" w:cs="Arial" w:eastAsia="Arial"/>
                <w:b/>
                <w:bCs/>
                <w:color w:val="0E1E3A"/>
                <w:sz w:val="18"/>
                <w:szCs w:val="18"/>
              </w:rPr>
              <w:t>SAR 339,480,955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2022</w:t>
            </w:r>
          </w:p>
        </w:tc>
        <w:tc>
          <w:tcPr>
            <w:tcW w:type="dxa" w:w="6860"/>
          </w:tcPr>
          <w:p>
            <w:pPr>
              <w:spacing w:before="0" w:after="0" w:line="276" w:lineRule="auto"/>
            </w:pPr>
            <w:r>
              <w:rPr>
                <w:rFonts w:ascii="Arial" w:hAnsi="Arial" w:cs="Arial" w:eastAsia="Arial"/>
                <w:b/>
                <w:bCs/>
                <w:color w:val="0E1E3A"/>
                <w:sz w:val="18"/>
                <w:szCs w:val="18"/>
              </w:rPr>
              <w:t>SAR 281,324,747</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297,873,261</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(30 MARCH 2023)</w:t>
            </w:r>
          </w:p>
        </w:tc>
        <w:tc>
          <w:tcPr>
            <w:tcW w:type="dxa" w:w="6860"/>
          </w:tcPr>
          <w:p>
            <w:pPr>
              <w:spacing w:before="0" w:after="0" w:line="276" w:lineRule="auto"/>
            </w:pPr>
            <w:r>
              <w:rPr>
                <w:rFonts w:ascii="Arial" w:hAnsi="Arial" w:cs="Arial" w:eastAsia="Arial"/>
                <w:b/>
                <w:bCs/>
                <w:color w:val="0E1E3A"/>
                <w:sz w:val="18"/>
                <w:szCs w:val="18"/>
              </w:rPr>
              <w:t>SAR 6.30</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 (FROM 29 DECEMBER 2022 TO 30 MARCH 2023)*</w:t>
            </w:r>
          </w:p>
        </w:tc>
        <w:tc>
          <w:tcPr>
            <w:tcW w:type="dxa" w:w="6860"/>
          </w:tcPr>
          <w:p>
            <w:pPr>
              <w:spacing w:before="0" w:after="0" w:line="276" w:lineRule="auto"/>
            </w:pPr>
            <w:r>
              <w:rPr>
                <w:rFonts w:ascii="Arial" w:hAnsi="Arial" w:cs="Arial" w:eastAsia="Arial"/>
                <w:b/>
                <w:bCs/>
                <w:color w:val="0E1E3A"/>
                <w:sz w:val="18"/>
                <w:szCs w:val="18"/>
              </w:rPr>
              <w:t>5.88%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2023)</w:t>
            </w:r>
          </w:p>
        </w:tc>
        <w:tc>
          <w:tcPr>
            <w:tcW w:type="dxa" w:w="6860"/>
          </w:tcPr>
          <w:p>
            <w:pPr>
              <w:spacing w:before="0" w:after="0" w:line="276" w:lineRule="auto"/>
            </w:pPr>
            <w:r>
              <w:rPr>
                <w:rFonts w:ascii="Arial" w:hAnsi="Arial" w:cs="Arial" w:eastAsia="Arial"/>
                <w:b/>
                <w:bCs/>
                <w:color w:val="0E1E3A"/>
                <w:sz w:val="18"/>
                <w:szCs w:val="18"/>
              </w:rPr>
              <w:t>-37.00%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8.54</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5.91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29 December 2022 = SAR 5.95.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7"/>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13,238,812</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2.80%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4.42%</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9,242,815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MARCH 2023)</w:t>
            </w:r>
          </w:p>
        </w:tc>
        <w:tc>
          <w:tcPr>
            <w:tcW w:type="dxa" w:w="6860"/>
          </w:tcPr>
          <w:p>
            <w:pPr>
              <w:spacing w:before="0" w:after="0" w:line="276" w:lineRule="auto"/>
            </w:pPr>
            <w:r>
              <w:rPr>
                <w:rFonts w:ascii="Arial" w:hAnsi="Arial" w:cs="Arial" w:eastAsia="Arial"/>
                <w:b/>
                <w:bCs/>
                <w:color w:val="0E1E3A"/>
                <w:sz w:val="18"/>
                <w:szCs w:val="18"/>
              </w:rPr>
              <w:t>3.10%</w:t>
            </w:r>
          </w:p>
        </w:tc>
      </w:tr>
    </w:tbl>
    <w:p>
      <w:pPr>
        <w:spacing w:before="0" w:after="40" w:line="300" w:lineRule="auto"/>
      </w:pPr>
    </w:p>
    <w:p>
      <w:pPr>
        <w:spacing w:before="0" w:after="80" w:line="312" w:lineRule="auto"/>
      </w:pPr>
      <w:r>
        <w:rPr>
          <w:rFonts w:ascii="Arial" w:hAnsi="Arial" w:cs="Arial" w:eastAsia="Arial"/>
          <w:color w:val="5A6478"/>
          <w:sz w:val="17"/>
          <w:szCs w:val="17"/>
        </w:rPr>
        <w:t>* From 1 January 2023 to 31 March 2023.</w:t>
      </w:r>
      <w:r>
        <w:br/>
      </w:r>
      <w:r>
        <w:rPr>
          <w:rFonts w:ascii="Arial" w:hAnsi="Arial" w:cs="Arial" w:eastAsia="Arial"/>
          <w:color w:val="5A6478"/>
          <w:sz w:val="17"/>
          <w:szCs w:val="17"/>
        </w:rPr>
        <w:t>** From 1 July 2022 to 31 December 2022.</w:t>
      </w:r>
      <w:r>
        <w:br/>
      </w:r>
      <w:r>
        <w:rPr>
          <w:rFonts w:ascii="Arial" w:hAnsi="Arial" w:cs="Arial" w:eastAsia="Arial"/>
          <w:color w:val="5A6478"/>
          <w:sz w:val="17"/>
          <w:szCs w:val="17"/>
        </w:rPr>
        <w:t>*** Unit Price as at the distribution date on 19 February 2023 = SAR 6.34.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5.88%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-37.00%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-28.42%</w:t>
            </w:r>
          </w:p>
        </w:tc>
      </w:tr>
    </w:tbl>
    <w:p>
      <w:pPr>
        <w:spacing w:before="0" w:after="40" w:line="300" w:lineRule="auto"/>
      </w:pPr>
    </w:p>
    <w:p>
      <w:pPr>
        <w:spacing w:before="0" w:after="80" w:line="312" w:lineRule="auto"/>
      </w:pPr>
      <w:r>
        <w:rPr>
          <w:rFonts w:ascii="Arial" w:hAnsi="Arial" w:cs="Arial" w:eastAsia="Arial"/>
          <w:color w:val="5A6478"/>
          <w:sz w:val="17"/>
          <w:szCs w:val="17"/>
        </w:rPr>
        <w:t>* Unit Price as of 31 December 2022 = SAR 5.95.</w:t>
      </w:r>
      <w:r>
        <w:br/>
      </w:r>
      <w:r>
        <w:rPr>
          <w:rFonts w:ascii="Arial" w:hAnsi="Arial" w:cs="Arial" w:eastAsia="Arial"/>
          <w:color w:val="5A6478"/>
          <w:sz w:val="17"/>
          <w:szCs w:val="17"/>
        </w:rPr>
        <w:t>** From the Fund’s Date of Inception to end Q4 2022.</w:t>
      </w:r>
      <w:r>
        <w:br/>
      </w:r>
      <w:r>
        <w:rPr>
          <w:rFonts w:ascii="Arial" w:hAnsi="Arial" w:cs="Arial" w:eastAsia="Arial"/>
          <w:color w:val="5A6478"/>
          <w:sz w:val="17"/>
          <w:szCs w:val="17"/>
        </w:rPr>
        <w:t>*** Total Return = Unit Price Performance + Total Dividend Distributions (if any).</w:t>
      </w:r>
      <w:r>
        <w:br/>
      </w:r>
      <w:r>
        <w:rPr>
          <w:rFonts w:ascii="Arial" w:hAnsi="Arial" w:cs="Arial" w:eastAsia="Arial"/>
          <w:color w:val="5A6478"/>
          <w:sz w:val="17"/>
          <w:szCs w:val="17"/>
        </w:rPr>
        <w:t>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12-month LIBOR plus 300 bps.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9.9455</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9.7877</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-1.59%</w:t>
            </w:r>
          </w:p>
        </w:tc>
        <w:tc>
          <w:tcPr>
            <w:tcW w:type="dxa" w:w="3326"/>
          </w:tcPr>
          <w:p>
            <w:pPr>
              <w:spacing w:before="0" w:after="0" w:line="264" w:lineRule="auto"/>
            </w:pPr>
            <w:r>
              <w:rPr>
                <w:rFonts w:ascii="Arial" w:hAnsi="Arial" w:cs="Arial" w:eastAsia="Arial"/>
                <w:color w:val="0E1E3A"/>
                <w:sz w:val="17"/>
                <w:szCs w:val="17"/>
              </w:rPr>
              <w:t>2.11%***</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2022.</w:t>
      </w:r>
      <w:r>
        <w:br/>
      </w:r>
      <w:r>
        <w:rPr>
          <w:rFonts w:ascii="Arial" w:hAnsi="Arial" w:cs="Arial" w:eastAsia="Arial"/>
          <w:color w:val="5A6478"/>
          <w:sz w:val="17"/>
          <w:szCs w:val="17"/>
        </w:rPr>
        <w:t>** As of 30 March 2023.</w:t>
      </w:r>
      <w:r>
        <w:br/>
      </w:r>
      <w:r>
        <w:rPr>
          <w:rFonts w:ascii="Arial" w:hAnsi="Arial" w:cs="Arial" w:eastAsia="Arial"/>
          <w:color w:val="5A6478"/>
          <w:sz w:val="17"/>
          <w:szCs w:val="17"/>
        </w:rPr>
        <w:t>*** Benchmark average return is 8.39% per annum, or a return of 2.11% for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UP TO 30 MARCH 2023</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w:t>
            </w:r>
          </w:p>
        </w:tc>
        <w:tc>
          <w:tcPr>
            <w:tcW w:type="dxa" w:w="1663"/>
          </w:tcPr>
          <w:p>
            <w:pPr>
              <w:spacing w:before="0" w:after="0" w:line="264" w:lineRule="auto"/>
            </w:pPr>
            <w:r>
              <w:rPr>
                <w:rFonts w:ascii="Arial" w:hAnsi="Arial" w:cs="Arial" w:eastAsia="Arial"/>
                <w:color w:val="0E1E3A"/>
                <w:sz w:val="17"/>
                <w:szCs w:val="17"/>
              </w:rPr>
              <w:t>1.23%*</w:t>
            </w:r>
          </w:p>
        </w:tc>
        <w:tc>
          <w:tcPr>
            <w:tcW w:type="dxa" w:w="1663"/>
          </w:tcPr>
          <w:p>
            <w:pPr>
              <w:spacing w:before="0" w:after="0" w:line="264" w:lineRule="auto"/>
            </w:pPr>
            <w:r>
              <w:rPr>
                <w:rFonts w:ascii="Arial" w:hAnsi="Arial" w:cs="Arial" w:eastAsia="Arial"/>
                <w:color w:val="0E1E3A"/>
                <w:sz w:val="17"/>
                <w:szCs w:val="17"/>
              </w:rPr>
              <w:t>1.23%**</w:t>
            </w:r>
          </w:p>
        </w:tc>
        <w:tc>
          <w:tcPr>
            <w:tcW w:type="dxa" w:w="1663"/>
          </w:tcPr>
          <w:p>
            <w:pPr>
              <w:spacing w:before="0" w:after="0" w:line="264" w:lineRule="auto"/>
            </w:pPr>
            <w:r>
              <w:rPr>
                <w:rFonts w:ascii="Arial" w:hAnsi="Arial" w:cs="Arial" w:eastAsia="Arial"/>
                <w:color w:val="0E1E3A"/>
                <w:sz w:val="17"/>
                <w:szCs w:val="17"/>
              </w:rPr>
              <w:t>3.48%***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2.11%</w:t>
            </w:r>
          </w:p>
        </w:tc>
        <w:tc>
          <w:tcPr>
            <w:tcW w:type="dxa" w:w="1663"/>
          </w:tcPr>
          <w:p>
            <w:pPr>
              <w:spacing w:before="0" w:after="0" w:line="264" w:lineRule="auto"/>
            </w:pPr>
            <w:r>
              <w:rPr>
                <w:rFonts w:ascii="Arial" w:hAnsi="Arial" w:cs="Arial" w:eastAsia="Arial"/>
                <w:color w:val="0E1E3A"/>
                <w:sz w:val="17"/>
                <w:szCs w:val="17"/>
              </w:rPr>
              <w:t>2.11%</w:t>
            </w:r>
          </w:p>
        </w:tc>
        <w:tc>
          <w:tcPr>
            <w:tcW w:type="dxa" w:w="1663"/>
          </w:tcPr>
          <w:p>
            <w:pPr>
              <w:spacing w:before="0" w:after="0" w:line="264" w:lineRule="auto"/>
            </w:pPr>
            <w:r>
              <w:rPr>
                <w:rFonts w:ascii="Arial" w:hAnsi="Arial" w:cs="Arial" w:eastAsia="Arial"/>
                <w:color w:val="0E1E3A"/>
                <w:sz w:val="17"/>
                <w:szCs w:val="17"/>
              </w:rPr>
              <w:t>7.58%</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-0.88%</w:t>
            </w:r>
          </w:p>
        </w:tc>
        <w:tc>
          <w:tcPr>
            <w:tcW w:type="dxa" w:w="1663"/>
          </w:tcPr>
          <w:p>
            <w:pPr>
              <w:spacing w:before="0" w:after="0" w:line="264" w:lineRule="auto"/>
            </w:pPr>
            <w:r>
              <w:rPr>
                <w:rFonts w:ascii="Arial" w:hAnsi="Arial" w:cs="Arial" w:eastAsia="Arial"/>
                <w:color w:val="0E1E3A"/>
                <w:sz w:val="17"/>
                <w:szCs w:val="17"/>
              </w:rPr>
              <w:t>-0.88%</w:t>
            </w:r>
          </w:p>
        </w:tc>
        <w:tc>
          <w:tcPr>
            <w:tcW w:type="dxa" w:w="1663"/>
          </w:tcPr>
          <w:p>
            <w:pPr>
              <w:spacing w:before="0" w:after="0" w:line="264" w:lineRule="auto"/>
            </w:pPr>
            <w:r>
              <w:rPr>
                <w:rFonts w:ascii="Arial" w:hAnsi="Arial" w:cs="Arial" w:eastAsia="Arial"/>
                <w:color w:val="0E1E3A"/>
                <w:sz w:val="17"/>
                <w:szCs w:val="17"/>
              </w:rPr>
              <w:t>-4.10%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31 December 2022 to 30 March 2023, including cash distributions of 2.8%.</w:t>
      </w:r>
      <w:r>
        <w:br/>
      </w:r>
      <w:r>
        <w:rPr>
          <w:rFonts w:ascii="Arial" w:hAnsi="Arial" w:cs="Arial" w:eastAsia="Arial"/>
          <w:color w:val="5A6478"/>
          <w:sz w:val="17"/>
          <w:szCs w:val="17"/>
        </w:rPr>
        <w:t>** For the period from 31 December 2022 to 30 March 2023, including cash distributions of 2.8%.</w:t>
      </w:r>
      <w:r>
        <w:br/>
      </w:r>
      <w:r>
        <w:rPr>
          <w:rFonts w:ascii="Arial" w:hAnsi="Arial" w:cs="Arial" w:eastAsia="Arial"/>
          <w:color w:val="5A6478"/>
          <w:sz w:val="17"/>
          <w:szCs w:val="17"/>
        </w:rPr>
        <w:t>*** For the period from 30 March 2202 to 30 March 2023, including cash distributions of 5.4%.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3"/>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MONTHS1</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UP TO 30 MARCH 20232</w:t>
            </w:r>
          </w:p>
        </w:tc>
        <w:tc>
          <w:tcPr>
            <w:tcW w:type="dxa" w:w="1663"/>
            <w:shd w:val="clear" w:color="auto" w:fill="12284B"/>
          </w:tcPr>
          <w:p>
            <w:pPr>
              <w:spacing w:before="0" w:after="0" w:line="264" w:lineRule="auto"/>
            </w:pPr>
            <w:r>
              <w:rPr>
                <w:rFonts w:ascii="Arial" w:hAnsi="Arial" w:cs="Arial" w:eastAsia="Arial"/>
                <w:b/>
                <w:bCs/>
                <w:color w:val="FFFFFF"/>
                <w:sz w:val="17"/>
                <w:szCs w:val="17"/>
              </w:rPr>
              <w:t>ONE YEAR3</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DEVIATION4</w:t>
            </w:r>
          </w:p>
        </w:tc>
        <w:tc>
          <w:tcPr>
            <w:tcW w:type="dxa" w:w="1663"/>
          </w:tcPr>
          <w:p>
            <w:pPr>
              <w:spacing w:before="0" w:after="0" w:line="264" w:lineRule="auto"/>
            </w:pPr>
            <w:r>
              <w:rPr>
                <w:rFonts w:ascii="Arial" w:hAnsi="Arial" w:cs="Arial" w:eastAsia="Arial"/>
                <w:color w:val="0E1E3A"/>
                <w:sz w:val="17"/>
                <w:szCs w:val="17"/>
              </w:rPr>
              <w:t>28.87</w:t>
            </w:r>
          </w:p>
        </w:tc>
        <w:tc>
          <w:tcPr>
            <w:tcW w:type="dxa" w:w="1663"/>
          </w:tcPr>
          <w:p>
            <w:pPr>
              <w:spacing w:before="0" w:after="0" w:line="264" w:lineRule="auto"/>
            </w:pPr>
            <w:r>
              <w:rPr>
                <w:rFonts w:ascii="Arial" w:hAnsi="Arial" w:cs="Arial" w:eastAsia="Arial"/>
                <w:color w:val="0E1E3A"/>
                <w:sz w:val="17"/>
                <w:szCs w:val="17"/>
              </w:rPr>
              <w:t>28.87</w:t>
            </w:r>
          </w:p>
        </w:tc>
        <w:tc>
          <w:tcPr>
            <w:tcW w:type="dxa" w:w="1663"/>
          </w:tcPr>
          <w:p>
            <w:pPr>
              <w:spacing w:before="0" w:after="0" w:line="264" w:lineRule="auto"/>
            </w:pPr>
            <w:r>
              <w:rPr>
                <w:rFonts w:ascii="Arial" w:hAnsi="Arial" w:cs="Arial" w:eastAsia="Arial"/>
                <w:color w:val="0E1E3A"/>
                <w:sz w:val="17"/>
                <w:szCs w:val="17"/>
              </w:rPr>
              <w:t>19.85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RATIO5</w:t>
            </w:r>
          </w:p>
        </w:tc>
        <w:tc>
          <w:tcPr>
            <w:tcW w:type="dxa" w:w="1663"/>
          </w:tcPr>
          <w:p>
            <w:pPr>
              <w:spacing w:before="0" w:after="0" w:line="264" w:lineRule="auto"/>
            </w:pPr>
            <w:r>
              <w:rPr>
                <w:rFonts w:ascii="Arial" w:hAnsi="Arial" w:cs="Arial" w:eastAsia="Arial"/>
                <w:color w:val="0E1E3A"/>
                <w:sz w:val="17"/>
                <w:szCs w:val="17"/>
              </w:rPr>
              <w:t>1.61</w:t>
            </w:r>
          </w:p>
        </w:tc>
        <w:tc>
          <w:tcPr>
            <w:tcW w:type="dxa" w:w="1663"/>
          </w:tcPr>
          <w:p>
            <w:pPr>
              <w:spacing w:before="0" w:after="0" w:line="264" w:lineRule="auto"/>
            </w:pPr>
            <w:r>
              <w:rPr>
                <w:rFonts w:ascii="Arial" w:hAnsi="Arial" w:cs="Arial" w:eastAsia="Arial"/>
                <w:color w:val="0E1E3A"/>
                <w:sz w:val="17"/>
                <w:szCs w:val="17"/>
              </w:rPr>
              <w:t>1.61</w:t>
            </w:r>
          </w:p>
        </w:tc>
        <w:tc>
          <w:tcPr>
            <w:tcW w:type="dxa" w:w="1663"/>
          </w:tcPr>
          <w:p>
            <w:pPr>
              <w:spacing w:before="0" w:after="0" w:line="264" w:lineRule="auto"/>
            </w:pPr>
            <w:r>
              <w:rPr>
                <w:rFonts w:ascii="Arial" w:hAnsi="Arial" w:cs="Arial" w:eastAsia="Arial"/>
                <w:color w:val="0E1E3A"/>
                <w:sz w:val="17"/>
                <w:szCs w:val="17"/>
              </w:rPr>
              <w:t>-1.22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ERROR6</w:t>
            </w:r>
          </w:p>
        </w:tc>
        <w:tc>
          <w:tcPr>
            <w:tcW w:type="dxa" w:w="1663"/>
          </w:tcPr>
          <w:p>
            <w:pPr>
              <w:spacing w:before="0" w:after="0" w:line="264" w:lineRule="auto"/>
            </w:pPr>
            <w:r>
              <w:rPr>
                <w:rFonts w:ascii="Arial" w:hAnsi="Arial" w:cs="Arial" w:eastAsia="Arial"/>
                <w:color w:val="0E1E3A"/>
                <w:sz w:val="17"/>
                <w:szCs w:val="17"/>
              </w:rPr>
              <w:t>28.86</w:t>
            </w:r>
          </w:p>
        </w:tc>
        <w:tc>
          <w:tcPr>
            <w:tcW w:type="dxa" w:w="1663"/>
          </w:tcPr>
          <w:p>
            <w:pPr>
              <w:spacing w:before="0" w:after="0" w:line="264" w:lineRule="auto"/>
            </w:pPr>
            <w:r>
              <w:rPr>
                <w:rFonts w:ascii="Arial" w:hAnsi="Arial" w:cs="Arial" w:eastAsia="Arial"/>
                <w:color w:val="0E1E3A"/>
                <w:sz w:val="17"/>
                <w:szCs w:val="17"/>
              </w:rPr>
              <w:t>28.86</w:t>
            </w:r>
          </w:p>
        </w:tc>
        <w:tc>
          <w:tcPr>
            <w:tcW w:type="dxa" w:w="1663"/>
          </w:tcPr>
          <w:p>
            <w:pPr>
              <w:spacing w:before="0" w:after="0" w:line="264" w:lineRule="auto"/>
            </w:pPr>
            <w:r>
              <w:rPr>
                <w:rFonts w:ascii="Arial" w:hAnsi="Arial" w:cs="Arial" w:eastAsia="Arial"/>
                <w:color w:val="0E1E3A"/>
                <w:sz w:val="17"/>
                <w:szCs w:val="17"/>
              </w:rPr>
              <w:t>19.84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BETA7</w:t>
            </w:r>
          </w:p>
        </w:tc>
        <w:tc>
          <w:tcPr>
            <w:tcW w:type="dxa" w:w="1663"/>
          </w:tcPr>
          <w:p>
            <w:pPr>
              <w:spacing w:before="0" w:after="0" w:line="264" w:lineRule="auto"/>
            </w:pPr>
            <w:r>
              <w:rPr>
                <w:rFonts w:ascii="Arial" w:hAnsi="Arial" w:cs="Arial" w:eastAsia="Arial"/>
                <w:color w:val="0E1E3A"/>
                <w:sz w:val="17"/>
                <w:szCs w:val="17"/>
              </w:rPr>
              <w:t>2.41</w:t>
            </w:r>
          </w:p>
        </w:tc>
        <w:tc>
          <w:tcPr>
            <w:tcW w:type="dxa" w:w="1663"/>
          </w:tcPr>
          <w:p>
            <w:pPr>
              <w:spacing w:before="0" w:after="0" w:line="264" w:lineRule="auto"/>
            </w:pPr>
            <w:r>
              <w:rPr>
                <w:rFonts w:ascii="Arial" w:hAnsi="Arial" w:cs="Arial" w:eastAsia="Arial"/>
                <w:color w:val="0E1E3A"/>
                <w:sz w:val="17"/>
                <w:szCs w:val="17"/>
              </w:rPr>
              <w:t>2.41</w:t>
            </w:r>
          </w:p>
        </w:tc>
        <w:tc>
          <w:tcPr>
            <w:tcW w:type="dxa" w:w="1663"/>
          </w:tcPr>
          <w:p>
            <w:pPr>
              <w:spacing w:before="0" w:after="0" w:line="264" w:lineRule="auto"/>
            </w:pPr>
            <w:r>
              <w:rPr>
                <w:rFonts w:ascii="Arial" w:hAnsi="Arial" w:cs="Arial" w:eastAsia="Arial"/>
                <w:color w:val="0E1E3A"/>
                <w:sz w:val="17"/>
                <w:szCs w:val="17"/>
              </w:rPr>
              <w:t>2.65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ALPHA8</w:t>
            </w:r>
          </w:p>
        </w:tc>
        <w:tc>
          <w:tcPr>
            <w:tcW w:type="dxa" w:w="1663"/>
          </w:tcPr>
          <w:p>
            <w:pPr>
              <w:spacing w:before="0" w:after="0" w:line="264" w:lineRule="auto"/>
            </w:pPr>
            <w:r>
              <w:rPr>
                <w:rFonts w:ascii="Arial" w:hAnsi="Arial" w:cs="Arial" w:eastAsia="Arial"/>
                <w:color w:val="0E1E3A"/>
                <w:sz w:val="17"/>
                <w:szCs w:val="17"/>
              </w:rPr>
              <w:t>0.33</w:t>
            </w:r>
          </w:p>
        </w:tc>
        <w:tc>
          <w:tcPr>
            <w:tcW w:type="dxa" w:w="1663"/>
          </w:tcPr>
          <w:p>
            <w:pPr>
              <w:spacing w:before="0" w:after="0" w:line="264" w:lineRule="auto"/>
            </w:pPr>
            <w:r>
              <w:rPr>
                <w:rFonts w:ascii="Arial" w:hAnsi="Arial" w:cs="Arial" w:eastAsia="Arial"/>
                <w:color w:val="0E1E3A"/>
                <w:sz w:val="17"/>
                <w:szCs w:val="17"/>
              </w:rPr>
              <w:t>0.33</w:t>
            </w:r>
          </w:p>
        </w:tc>
        <w:tc>
          <w:tcPr>
            <w:tcW w:type="dxa" w:w="1663"/>
          </w:tcPr>
          <w:p>
            <w:pPr>
              <w:spacing w:before="0" w:after="0" w:line="264" w:lineRule="auto"/>
            </w:pPr>
            <w:r>
              <w:rPr>
                <w:rFonts w:ascii="Arial" w:hAnsi="Arial" w:cs="Arial" w:eastAsia="Arial"/>
                <w:color w:val="0E1E3A"/>
                <w:sz w:val="17"/>
                <w:szCs w:val="17"/>
              </w:rPr>
              <w:t>-0.29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RATIO9</w:t>
            </w:r>
          </w:p>
        </w:tc>
        <w:tc>
          <w:tcPr>
            <w:tcW w:type="dxa" w:w="1663"/>
          </w:tcPr>
          <w:p>
            <w:pPr>
              <w:spacing w:before="0" w:after="0" w:line="264" w:lineRule="auto"/>
            </w:pPr>
            <w:r>
              <w:rPr>
                <w:rFonts w:ascii="Arial" w:hAnsi="Arial" w:cs="Arial" w:eastAsia="Arial"/>
                <w:color w:val="0E1E3A"/>
                <w:sz w:val="17"/>
                <w:szCs w:val="17"/>
              </w:rPr>
              <w:t>1.16</w:t>
            </w:r>
          </w:p>
        </w:tc>
        <w:tc>
          <w:tcPr>
            <w:tcW w:type="dxa" w:w="1663"/>
          </w:tcPr>
          <w:p>
            <w:pPr>
              <w:spacing w:before="0" w:after="0" w:line="264" w:lineRule="auto"/>
            </w:pPr>
            <w:r>
              <w:rPr>
                <w:rFonts w:ascii="Arial" w:hAnsi="Arial" w:cs="Arial" w:eastAsia="Arial"/>
                <w:color w:val="0E1E3A"/>
                <w:sz w:val="17"/>
                <w:szCs w:val="17"/>
              </w:rPr>
              <w:t>1.16</w:t>
            </w:r>
          </w:p>
        </w:tc>
        <w:tc>
          <w:tcPr>
            <w:tcW w:type="dxa" w:w="1663"/>
          </w:tcPr>
          <w:p>
            <w:pPr>
              <w:spacing w:before="0" w:after="0" w:line="264" w:lineRule="auto"/>
            </w:pPr>
            <w:r>
              <w:rPr>
                <w:rFonts w:ascii="Arial" w:hAnsi="Arial" w:cs="Arial" w:eastAsia="Arial"/>
                <w:color w:val="0E1E3A"/>
                <w:sz w:val="17"/>
                <w:szCs w:val="17"/>
              </w:rPr>
              <w:t>-1.49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31 December 2022 to 30 March 2023.</w:t>
      </w:r>
      <w:r>
        <w:br/>
      </w:r>
      <w:r>
        <w:rPr>
          <w:rFonts w:ascii="Arial" w:hAnsi="Arial" w:cs="Arial" w:eastAsia="Arial"/>
          <w:color w:val="5A6478"/>
          <w:sz w:val="17"/>
          <w:szCs w:val="17"/>
        </w:rPr>
        <w:t>2. For the period from 31 December 2022 to 30 March 2023.</w:t>
      </w:r>
      <w:r>
        <w:br/>
      </w:r>
      <w:r>
        <w:rPr>
          <w:rFonts w:ascii="Arial" w:hAnsi="Arial" w:cs="Arial" w:eastAsia="Arial"/>
          <w:color w:val="5A6478"/>
          <w:sz w:val="17"/>
          <w:szCs w:val="17"/>
        </w:rPr>
        <w:t>3. For the period from 30 March 2022 to 30 March 2023.</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risk-adjusted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5"/>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steady rise in short-term interest rates and stubborn inflationary pressures do not seem to have suppressed demand for productive equipment by US businesses.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the 2023 equipment outlook from US Equipment Leasing and Finance Association (ELFA), the top five hottest equipment sectors in 2023 include: construction, machine tools, medical equipment, trucks/trailers, and hi-tech/computers. Notably, construction equipment was the big winner of the survey, ranking first for the 10th consecutive year. The outlook for construction remains good based on pent-up demand for highway, commercial and civil projects.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Equipment Leasing and Finance Association’s (ELFA) Monthly Leasing and Finance Index (MLFI-25), which reports economic activity from twenty-five companies representing a cross section of the USD 1 trillion equipment finance sector, showed their overall new business volume for February 2023 was USD 7.9 billion, up 11% compared to new business volume in February 2022.</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United Nations Conference on Trade and Development (UNCTAD), the global trade reached a record USD 32 trillion in 2022 - trade in goods was about USD 25 trillion (an increase of about 10% from 2021) and trade in services totaled ~USD 7 trillion (an increase of ~15% YoY).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record levels were largely due to robust growth in the first half of 2022; however, due to deteriorating economic conditions and rising uncertainties, growth turned negative in H2 2022 and is expected to stagnate in the first half of 2023.</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Meanwhile, the World Bank links the global trade finance gap to the pool of available liquidity compared to the optimal amount required by companies, which stood at USD 1.5 trillion in 2020 for developing countries. The shortfall worsened with the spread of the pandemic, and the Asian Development Bank expects the gap in trade finance transactions to increase to at least USD 2 trillion in 2022.</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As per Fitch Ratings, global outstanding Sukuk reached USD 765.3 billion in 2022, 7.6% higher than a year ago. The main issuers remain the sovereigns and multilaterals.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Refinitiv, global Sukuk issuance exceeded market expectations, reaching USD 193.9 billion in 2022 (USD 144.4 billion of new issuances and the remainder being new issuances), despite a record number of consecutive rate hikes during 2022. 2022 was the second highest year after issuance reached USD 196.5 billion in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terms of performance, further to the worst year in decades in global Sukuk markets in 2022, the Sukuk market has slightly recovered until March 2023. The Dow Jones Sukuk Index (ex-reinvestment) gained about 2.1% YTD, while the Dow Jones index gained 1.2%, and the S&amp;P GCC Sukuk Index was up 1.2% YTD.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6"/>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 *</w:t>
      </w:r>
    </w:p>
    <w:p>
      <w:pPr>
        <w:spacing w:before="0" w:after="80" w:line="240" w:lineRule="auto"/>
        <w:jc w:val="center"/>
      </w:pPr>
      <w:r>
        <w:drawing>
          <wp:inline xmlns:a="http://schemas.openxmlformats.org/drawingml/2006/main" xmlns:pic="http://schemas.openxmlformats.org/drawingml/2006/picture">
            <wp:extent cx="6336000" cy="2730378"/>
            <wp:docPr id="24" name="Picture 9047"/>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of 30 March 2023.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8"/>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49"/>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 Investment in the Fund is subject to fees as stated in the Terms and Conditions.</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Q1 2023</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