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6"/>
            <wp:cNvGraphicFramePr/>
            <a:graphic>
              <a:graphicData uri="http://schemas.openxmlformats.org/drawingml/2006/picture">
                <pic:pic>
                  <pic:nvPicPr>
                    <pic:cNvPr id="9026" name="banner9026.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7"/>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المتداول"(الصندوق) هو صندوق استثمار متداول، مغلق، متوافق مع ضوابط الهيئة الشرعية، وتم إنشاؤه بموجب الأنظمة واللوائح المعمول بها في المملكة العربية السعودية،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9.7832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492,985,295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 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28,174,505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‎5.72%‎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‎6.09%‎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w:t>
            </w:r>
            <w:r>
              <w:rPr>
                <w:rFonts w:ascii="Arial" w:hAnsi="Arial" w:cs="Arial" w:eastAsia="Arial"/>
                <w:b/>
                <w:bCs/>
                <w:color w:val="0E1E3A"/>
                <w:sz w:val="18"/>
                <w:szCs w:val="18"/>
                <w:rtl/>
              </w:rPr>
              <w:t>. 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‎0.34%‎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91 يوم</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2024م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30"/>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2.9 سنوات.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492,985,295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462,565,986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الصفقات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وأتعاب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‎0.40%‎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‎0.50%‎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 أتعاب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‎0.53%‎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تكاليف الصندوق للربع المعني</w:t>
            </w:r>
          </w:p>
        </w:tc>
        <w:tc>
          <w:tcPr>
            <w:tcW w:type="dxa" w:w="6860"/>
          </w:tcPr>
          <w:p>
            <w:pPr>
              <w:bidi w:val="1"/>
              <w:spacing w:before="0" w:after="0" w:line="276" w:lineRule="auto"/>
            </w:pPr>
            <w:r>
              <w:rPr>
                <w:rFonts w:ascii="Arial" w:hAnsi="Arial" w:cs="Arial" w:eastAsia="Arial"/>
                <w:b/>
                <w:bCs/>
                <w:color w:val="0E1E3A"/>
                <w:sz w:val="18"/>
                <w:szCs w:val="18"/>
                <w:rtl/>
              </w:rPr>
              <w:t>2,453,180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2024م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إجمالي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للفترة المعنية = 465,782,076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33"/>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استثمارات للصندوق</w:t>
      </w:r>
    </w:p>
    <w:p>
      <w:pPr>
        <w:bidi w:val="1"/>
        <w:spacing w:before="0" w:after="80" w:line="240" w:lineRule="auto"/>
        <w:jc w:val="center"/>
      </w:pPr>
      <w:r>
        <w:drawing>
          <wp:inline xmlns:a="http://schemas.openxmlformats.org/drawingml/2006/main" xmlns:pic="http://schemas.openxmlformats.org/drawingml/2006/picture">
            <wp:extent cx="6336000" cy="2911135"/>
            <wp:docPr id="10" name="Picture 9035"/>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911135"/>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126,277,328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170,025,179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31,799,936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116,492,538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48,390,313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3" name="Picture 9038"/>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2021م</w:t>
            </w:r>
          </w:p>
        </w:tc>
        <w:tc>
          <w:tcPr>
            <w:tcW w:type="dxa" w:w="6860"/>
          </w:tcPr>
          <w:p>
            <w:pPr>
              <w:bidi w:val="1"/>
              <w:spacing w:before="0" w:after="0" w:line="276" w:lineRule="auto"/>
            </w:pPr>
            <w:r>
              <w:rPr>
                <w:rFonts w:ascii="Arial" w:hAnsi="Arial" w:cs="Arial" w:eastAsia="Arial"/>
                <w:b/>
                <w:bCs/>
                <w:color w:val="0E1E3A"/>
                <w:sz w:val="18"/>
                <w:szCs w:val="18"/>
                <w:rtl/>
              </w:rPr>
              <w:t>428,370,118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2021م</w:t>
            </w:r>
          </w:p>
        </w:tc>
        <w:tc>
          <w:tcPr>
            <w:tcW w:type="dxa" w:w="6860"/>
          </w:tcPr>
          <w:p>
            <w:pPr>
              <w:bidi w:val="1"/>
              <w:spacing w:before="0" w:after="0" w:line="276" w:lineRule="auto"/>
            </w:pPr>
            <w:r>
              <w:rPr>
                <w:rFonts w:ascii="Arial" w:hAnsi="Arial" w:cs="Arial" w:eastAsia="Arial"/>
                <w:b/>
                <w:bCs/>
                <w:color w:val="0E1E3A"/>
                <w:sz w:val="18"/>
                <w:szCs w:val="18"/>
                <w:rtl/>
              </w:rPr>
              <w:t>433,098,265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2021م</w:t>
            </w:r>
          </w:p>
        </w:tc>
        <w:tc>
          <w:tcPr>
            <w:tcW w:type="dxa" w:w="6860"/>
          </w:tcPr>
          <w:p>
            <w:pPr>
              <w:bidi w:val="1"/>
              <w:spacing w:before="0" w:after="0" w:line="276" w:lineRule="auto"/>
            </w:pPr>
            <w:r>
              <w:rPr>
                <w:rFonts w:ascii="Arial" w:hAnsi="Arial" w:cs="Arial" w:eastAsia="Arial"/>
                <w:b/>
                <w:bCs/>
                <w:color w:val="0E1E3A"/>
                <w:sz w:val="18"/>
                <w:szCs w:val="18"/>
                <w:rtl/>
              </w:rPr>
              <w:t>427,897,304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2021م</w:t>
            </w:r>
          </w:p>
        </w:tc>
        <w:tc>
          <w:tcPr>
            <w:tcW w:type="dxa" w:w="6860"/>
          </w:tcPr>
          <w:p>
            <w:pPr>
              <w:bidi w:val="1"/>
              <w:spacing w:before="0" w:after="0" w:line="276" w:lineRule="auto"/>
            </w:pPr>
            <w:r>
              <w:rPr>
                <w:rFonts w:ascii="Arial" w:hAnsi="Arial" w:cs="Arial" w:eastAsia="Arial"/>
                <w:b/>
                <w:bCs/>
                <w:color w:val="0E1E3A"/>
                <w:sz w:val="18"/>
                <w:szCs w:val="18"/>
                <w:rtl/>
              </w:rPr>
              <w:t>409,930,345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2022م</w:t>
            </w:r>
          </w:p>
        </w:tc>
        <w:tc>
          <w:tcPr>
            <w:tcW w:type="dxa" w:w="6860"/>
          </w:tcPr>
          <w:p>
            <w:pPr>
              <w:bidi w:val="1"/>
              <w:spacing w:before="0" w:after="0" w:line="276" w:lineRule="auto"/>
            </w:pPr>
            <w:r>
              <w:rPr>
                <w:rFonts w:ascii="Arial" w:hAnsi="Arial" w:cs="Arial" w:eastAsia="Arial"/>
                <w:b/>
                <w:bCs/>
                <w:color w:val="0E1E3A"/>
                <w:sz w:val="18"/>
                <w:szCs w:val="18"/>
                <w:rtl/>
              </w:rPr>
              <w:t>402,838,124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342,317,843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2022م</w:t>
            </w:r>
          </w:p>
        </w:tc>
        <w:tc>
          <w:tcPr>
            <w:tcW w:type="dxa" w:w="6860"/>
          </w:tcPr>
          <w:p>
            <w:pPr>
              <w:bidi w:val="1"/>
              <w:spacing w:before="0" w:after="0" w:line="276" w:lineRule="auto"/>
            </w:pPr>
            <w:r>
              <w:rPr>
                <w:rFonts w:ascii="Arial" w:hAnsi="Arial" w:cs="Arial" w:eastAsia="Arial"/>
                <w:b/>
                <w:bCs/>
                <w:color w:val="0E1E3A"/>
                <w:sz w:val="18"/>
                <w:szCs w:val="18"/>
                <w:rtl/>
              </w:rPr>
              <w:t>339,480,955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2022م</w:t>
            </w:r>
          </w:p>
        </w:tc>
        <w:tc>
          <w:tcPr>
            <w:tcW w:type="dxa" w:w="6860"/>
          </w:tcPr>
          <w:p>
            <w:pPr>
              <w:bidi w:val="1"/>
              <w:spacing w:before="0" w:after="0" w:line="276" w:lineRule="auto"/>
            </w:pPr>
            <w:r>
              <w:rPr>
                <w:rFonts w:ascii="Arial" w:hAnsi="Arial" w:cs="Arial" w:eastAsia="Arial"/>
                <w:b/>
                <w:bCs/>
                <w:color w:val="0E1E3A"/>
                <w:sz w:val="18"/>
                <w:szCs w:val="18"/>
                <w:rtl/>
              </w:rPr>
              <w:t>281,324,747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2023م</w:t>
            </w:r>
          </w:p>
        </w:tc>
        <w:tc>
          <w:tcPr>
            <w:tcW w:type="dxa" w:w="6860"/>
          </w:tcPr>
          <w:p>
            <w:pPr>
              <w:bidi w:val="1"/>
              <w:spacing w:before="0" w:after="0" w:line="276" w:lineRule="auto"/>
            </w:pPr>
            <w:r>
              <w:rPr>
                <w:rFonts w:ascii="Arial" w:hAnsi="Arial" w:cs="Arial" w:eastAsia="Arial"/>
                <w:b/>
                <w:bCs/>
                <w:color w:val="0E1E3A"/>
                <w:sz w:val="18"/>
                <w:szCs w:val="18"/>
                <w:rtl/>
              </w:rPr>
              <w:t>297,873,261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2023م</w:t>
            </w:r>
          </w:p>
        </w:tc>
        <w:tc>
          <w:tcPr>
            <w:tcW w:type="dxa" w:w="6860"/>
          </w:tcPr>
          <w:p>
            <w:pPr>
              <w:bidi w:val="1"/>
              <w:spacing w:before="0" w:after="0" w:line="276" w:lineRule="auto"/>
            </w:pPr>
            <w:r>
              <w:rPr>
                <w:rFonts w:ascii="Arial" w:hAnsi="Arial" w:cs="Arial" w:eastAsia="Arial"/>
                <w:b/>
                <w:bCs/>
                <w:color w:val="0E1E3A"/>
                <w:sz w:val="18"/>
                <w:szCs w:val="18"/>
                <w:rtl/>
              </w:rPr>
              <w:t>329,079,031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سبتمبر 2023م</w:t>
            </w:r>
          </w:p>
        </w:tc>
        <w:tc>
          <w:tcPr>
            <w:tcW w:type="dxa" w:w="6860"/>
          </w:tcPr>
          <w:p>
            <w:pPr>
              <w:bidi w:val="1"/>
              <w:spacing w:before="0" w:after="0" w:line="276" w:lineRule="auto"/>
            </w:pPr>
            <w:r>
              <w:rPr>
                <w:rFonts w:ascii="Arial" w:hAnsi="Arial" w:cs="Arial" w:eastAsia="Arial"/>
                <w:b/>
                <w:bCs/>
                <w:color w:val="0E1E3A"/>
                <w:sz w:val="18"/>
                <w:szCs w:val="18"/>
                <w:rtl/>
              </w:rPr>
              <w:t>329,551,846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2023م</w:t>
            </w:r>
          </w:p>
        </w:tc>
        <w:tc>
          <w:tcPr>
            <w:tcW w:type="dxa" w:w="6860"/>
          </w:tcPr>
          <w:p>
            <w:pPr>
              <w:bidi w:val="1"/>
              <w:spacing w:before="0" w:after="0" w:line="276" w:lineRule="auto"/>
            </w:pPr>
            <w:r>
              <w:rPr>
                <w:rFonts w:ascii="Arial" w:hAnsi="Arial" w:cs="Arial" w:eastAsia="Arial"/>
                <w:b/>
                <w:bCs/>
                <w:color w:val="0E1E3A"/>
                <w:sz w:val="18"/>
                <w:szCs w:val="18"/>
                <w:rtl/>
              </w:rPr>
              <w:t>335,698,437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2024م</w:t>
            </w:r>
          </w:p>
        </w:tc>
        <w:tc>
          <w:tcPr>
            <w:tcW w:type="dxa" w:w="6860"/>
          </w:tcPr>
          <w:p>
            <w:pPr>
              <w:bidi w:val="1"/>
              <w:spacing w:before="0" w:after="0" w:line="276" w:lineRule="auto"/>
            </w:pPr>
            <w:r>
              <w:rPr>
                <w:rFonts w:ascii="Arial" w:hAnsi="Arial" w:cs="Arial" w:eastAsia="Arial"/>
                <w:b/>
                <w:bCs/>
                <w:color w:val="0E1E3A"/>
                <w:sz w:val="18"/>
                <w:szCs w:val="18"/>
                <w:rtl/>
              </w:rPr>
              <w:t>320,568,367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الأول (31 مارس 2024م)</w:t>
            </w:r>
          </w:p>
        </w:tc>
        <w:tc>
          <w:tcPr>
            <w:tcW w:type="dxa" w:w="6860"/>
          </w:tcPr>
          <w:p>
            <w:pPr>
              <w:bidi w:val="1"/>
              <w:spacing w:before="0" w:after="0" w:line="276" w:lineRule="auto"/>
            </w:pPr>
            <w:r>
              <w:rPr>
                <w:rFonts w:ascii="Arial" w:hAnsi="Arial" w:cs="Arial" w:eastAsia="Arial"/>
                <w:b/>
                <w:bCs/>
                <w:color w:val="0E1E3A"/>
                <w:sz w:val="18"/>
                <w:szCs w:val="18"/>
                <w:rtl/>
              </w:rPr>
              <w:t>6.78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 (من تاريخ 31 ديسمبر 2023م إلى 31 مارس 2024م) *</w:t>
            </w:r>
          </w:p>
        </w:tc>
        <w:tc>
          <w:tcPr>
            <w:tcW w:type="dxa" w:w="6860"/>
          </w:tcPr>
          <w:p>
            <w:pPr>
              <w:bidi w:val="1"/>
              <w:spacing w:before="0" w:after="0" w:line="276" w:lineRule="auto"/>
            </w:pPr>
            <w:r>
              <w:rPr>
                <w:rFonts w:ascii="Arial" w:hAnsi="Arial" w:cs="Arial" w:eastAsia="Arial"/>
                <w:b/>
                <w:bCs/>
                <w:color w:val="0E1E3A"/>
                <w:sz w:val="18"/>
                <w:szCs w:val="18"/>
              </w:rPr>
              <w:t>‎-4.51%‎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الأول 2024م)</w:t>
            </w:r>
          </w:p>
        </w:tc>
        <w:tc>
          <w:tcPr>
            <w:tcW w:type="dxa" w:w="6860"/>
          </w:tcPr>
          <w:p>
            <w:pPr>
              <w:bidi w:val="1"/>
              <w:spacing w:before="0" w:after="0" w:line="276" w:lineRule="auto"/>
            </w:pPr>
            <w:r>
              <w:rPr>
                <w:rFonts w:ascii="Arial" w:hAnsi="Arial" w:cs="Arial" w:eastAsia="Arial"/>
                <w:b/>
                <w:bCs/>
                <w:color w:val="0E1E3A"/>
                <w:sz w:val="18"/>
                <w:szCs w:val="18"/>
              </w:rPr>
              <w:t>‎-32.20%‎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8.95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6.37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31 مارس 2024م = 7.10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41"/>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الأرباح نصف السنوية المستلمة من عوائد استثمارات الصندوق، بعد خصم المصروفات على مالكي الوحدات مرتين في السنة، على أن تكون التوزيعات خلال شهري أغسطس وفبراير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المدفوعة خلال الربع المعني *</w:t>
            </w:r>
          </w:p>
        </w:tc>
        <w:tc>
          <w:tcPr>
            <w:tcW w:type="dxa" w:w="6860"/>
          </w:tcPr>
          <w:p>
            <w:pPr>
              <w:bidi w:val="1"/>
              <w:spacing w:before="0" w:after="0" w:line="276" w:lineRule="auto"/>
            </w:pPr>
            <w:r>
              <w:rPr>
                <w:rFonts w:ascii="Arial" w:hAnsi="Arial" w:cs="Arial" w:eastAsia="Arial"/>
                <w:b/>
                <w:bCs/>
                <w:color w:val="0E1E3A"/>
                <w:sz w:val="18"/>
                <w:szCs w:val="18"/>
                <w:rtl/>
              </w:rPr>
              <w:t>13,711,626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 **</w:t>
            </w:r>
          </w:p>
        </w:tc>
        <w:tc>
          <w:tcPr>
            <w:tcW w:type="dxa" w:w="6860"/>
          </w:tcPr>
          <w:p>
            <w:pPr>
              <w:bidi w:val="1"/>
              <w:spacing w:before="0" w:after="0" w:line="276" w:lineRule="auto"/>
            </w:pPr>
            <w:r>
              <w:rPr>
                <w:rFonts w:ascii="Arial" w:hAnsi="Arial" w:cs="Arial" w:eastAsia="Arial"/>
                <w:b/>
                <w:bCs/>
                <w:color w:val="0E1E3A"/>
                <w:sz w:val="18"/>
                <w:szCs w:val="18"/>
                <w:rtl/>
              </w:rPr>
              <w:t>13,711,626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0.29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‎2.90%‎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‎4.28%‎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w:t>
            </w:r>
          </w:p>
        </w:tc>
        <w:tc>
          <w:tcPr>
            <w:tcW w:type="dxa" w:w="6860"/>
          </w:tcPr>
          <w:p>
            <w:pPr>
              <w:bidi w:val="1"/>
              <w:spacing w:before="0" w:after="0" w:line="276" w:lineRule="auto"/>
            </w:pPr>
            <w:r>
              <w:rPr>
                <w:rFonts w:ascii="Arial" w:hAnsi="Arial" w:cs="Arial" w:eastAsia="Arial"/>
                <w:b/>
                <w:bCs/>
                <w:color w:val="0E1E3A"/>
                <w:sz w:val="18"/>
                <w:szCs w:val="18"/>
                <w:rtl/>
              </w:rPr>
              <w:t>9,733,824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(31 مارس 2024م)</w:t>
            </w:r>
          </w:p>
        </w:tc>
        <w:tc>
          <w:tcPr>
            <w:tcW w:type="dxa" w:w="6860"/>
          </w:tcPr>
          <w:p>
            <w:pPr>
              <w:bidi w:val="1"/>
              <w:spacing w:before="0" w:after="0" w:line="276" w:lineRule="auto"/>
            </w:pPr>
            <w:r>
              <w:rPr>
                <w:rFonts w:ascii="Arial" w:hAnsi="Arial" w:cs="Arial" w:eastAsia="Arial"/>
                <w:b/>
                <w:bCs/>
                <w:color w:val="0E1E3A"/>
                <w:sz w:val="18"/>
                <w:szCs w:val="18"/>
              </w:rPr>
              <w:t>‎3.04%‎</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1 يناير 2024م إلى 31 مارس 2024م.</w:t>
      </w:r>
      <w:r>
        <w:br/>
      </w:r>
      <w:r>
        <w:rPr>
          <w:rFonts w:ascii="Arial" w:hAnsi="Arial" w:cs="Arial" w:eastAsia="Arial"/>
          <w:color w:val="5A6478"/>
          <w:sz w:val="17"/>
          <w:szCs w:val="17"/>
          <w:rtl/>
        </w:rPr>
        <w:t>** من 1 يوليو 2023م إلى 31 ديسمبر 2023م (تم دفع الأرباح الموزعة بتاريخ 25 فبراير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فائدة التمويل المضمون لليلة واحدة (SOFR) لمدة 12 شهرًا، زائد 300 نقطة أساس *</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‎-4.51%‎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‎-32.20%‎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‎-16.45%‎</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في 16 مايو 2023م، قام الصندوق بتغيير مؤشره الاسترشادي من سعر فائدة الإقراض بين مصارف لندن (ليبور) لمدة 12 شهرًا زائد 300 نقطة أساس إلى سعر فائدة التمويل المضمون لليلة واحدة لمدة 12 شهرًا زائد 300 نقطة أساس.</w:t>
      </w:r>
      <w:r>
        <w:br/>
      </w:r>
      <w:r>
        <w:rPr>
          <w:rFonts w:ascii="Arial" w:hAnsi="Arial" w:cs="Arial" w:eastAsia="Arial"/>
          <w:color w:val="5A6478"/>
          <w:sz w:val="17"/>
          <w:szCs w:val="17"/>
          <w:rtl/>
        </w:rPr>
        <w:t>** سعر الوحدة بتاريخ 31 ديسمبر 2023م = 7.10 ر.س</w:t>
      </w:r>
      <w:r>
        <w:br/>
      </w:r>
      <w:r>
        <w:rPr>
          <w:rFonts w:ascii="Arial" w:hAnsi="Arial" w:cs="Arial" w:eastAsia="Arial"/>
          <w:color w:val="5A6478"/>
          <w:sz w:val="17"/>
          <w:szCs w:val="17"/>
          <w:rtl/>
        </w:rPr>
        <w:t>*** من تاريخ بدء الصندوق إلى نهاية الربع الأول من العام 2024م.</w:t>
      </w:r>
      <w:r>
        <w:br/>
      </w:r>
      <w:r>
        <w:rPr>
          <w:rFonts w:ascii="Arial" w:hAnsi="Arial" w:cs="Arial" w:eastAsia="Arial"/>
          <w:color w:val="5A6478"/>
          <w:sz w:val="17"/>
          <w:szCs w:val="17"/>
          <w:rtl/>
        </w:rPr>
        <w:t>**** العائد الكلي = أداء سعر الوحدة + إجمالي الأرباح الموزعة (إن وجدت).</w:t>
      </w:r>
      <w:r>
        <w:br/>
      </w:r>
      <w:r>
        <w:rPr>
          <w:rFonts w:ascii="Arial" w:hAnsi="Arial" w:cs="Arial" w:eastAsia="Arial"/>
          <w:color w:val="5A6478"/>
          <w:sz w:val="17"/>
          <w:szCs w:val="17"/>
          <w:rtl/>
        </w:rPr>
        <w:t>ملاحظة: يجب الإحاطة بأن سعر الوحدة في السوق المالية يخضع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المؤشر الاسترشادي للصندوق هو مؤشر معدل فائدة التمويل المضمون لليلة واحدة (SOFR) لمدة 12 شهرًا زائد 300 نقطة أساس.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4"/>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فائدة التمويل المضمون لليلة واحدة لمدة 12 شهرا زائد 300 نقطة أساس *</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 **</w:t>
            </w:r>
          </w:p>
        </w:tc>
        <w:tc>
          <w:tcPr>
            <w:tcW w:type="dxa" w:w="3326"/>
          </w:tcPr>
          <w:p>
            <w:pPr>
              <w:bidi w:val="1"/>
              <w:spacing w:before="0" w:after="0" w:line="264" w:lineRule="auto"/>
            </w:pPr>
            <w:r>
              <w:rPr>
                <w:rFonts w:ascii="Arial" w:hAnsi="Arial" w:cs="Arial" w:eastAsia="Arial"/>
                <w:color w:val="0E1E3A"/>
                <w:sz w:val="17"/>
                <w:szCs w:val="17"/>
                <w:rtl/>
              </w:rPr>
              <w:t>9.9193</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 ***</w:t>
            </w:r>
          </w:p>
        </w:tc>
        <w:tc>
          <w:tcPr>
            <w:tcW w:type="dxa" w:w="3326"/>
          </w:tcPr>
          <w:p>
            <w:pPr>
              <w:bidi w:val="1"/>
              <w:spacing w:before="0" w:after="0" w:line="264" w:lineRule="auto"/>
            </w:pPr>
            <w:r>
              <w:rPr>
                <w:rFonts w:ascii="Arial" w:hAnsi="Arial" w:cs="Arial" w:eastAsia="Arial"/>
                <w:color w:val="0E1E3A"/>
                <w:sz w:val="17"/>
                <w:szCs w:val="17"/>
                <w:rtl/>
              </w:rPr>
              <w:t>9.7832</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‎-1.37%‎</w:t>
            </w:r>
          </w:p>
        </w:tc>
        <w:tc>
          <w:tcPr>
            <w:tcW w:type="dxa" w:w="3326"/>
          </w:tcPr>
          <w:p>
            <w:pPr>
              <w:bidi w:val="1"/>
              <w:spacing w:before="0" w:after="0" w:line="264" w:lineRule="auto"/>
            </w:pPr>
            <w:r>
              <w:rPr>
                <w:rFonts w:ascii="Arial" w:hAnsi="Arial" w:cs="Arial" w:eastAsia="Arial"/>
                <w:color w:val="0E1E3A"/>
                <w:sz w:val="17"/>
                <w:szCs w:val="17"/>
                <w:rtl/>
              </w:rPr>
              <w:t>****</w:t>
            </w:r>
            <w:r>
              <w:rPr>
                <w:rFonts w:ascii="Arial" w:hAnsi="Arial" w:cs="Arial" w:eastAsia="Arial"/>
                <w:color w:val="0E1E3A"/>
                <w:sz w:val="17"/>
                <w:szCs w:val="17"/>
              </w:rPr>
              <w:t>‎1.90%‎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في 16 مايو 2023م، قام الصندوق بتغيير مؤشره الاسترشادي من سعر فائدة الإقراض بين مصارف لندن (ليبور) لمدة 12 شهرًا زائد 300 نقطة أساس إلى سعر فائدة التمويل المضمون لليلة واحدة لمدة 12 شهرًا زائد 300 نقطة أساس.</w:t>
      </w:r>
      <w:r>
        <w:br/>
      </w:r>
      <w:r>
        <w:rPr>
          <w:rFonts w:ascii="Arial" w:hAnsi="Arial" w:cs="Arial" w:eastAsia="Arial"/>
          <w:color w:val="5A6478"/>
          <w:sz w:val="17"/>
          <w:szCs w:val="17"/>
          <w:rtl/>
        </w:rPr>
        <w:t>** كما في تاريخ 31 ديسمبر 2023م.</w:t>
      </w:r>
      <w:r>
        <w:br/>
      </w:r>
      <w:r>
        <w:rPr>
          <w:rFonts w:ascii="Arial" w:hAnsi="Arial" w:cs="Arial" w:eastAsia="Arial"/>
          <w:color w:val="5A6478"/>
          <w:sz w:val="17"/>
          <w:szCs w:val="17"/>
          <w:rtl/>
        </w:rPr>
        <w:t>*** كما في تاريخ 31 مارس 2024م.</w:t>
      </w:r>
      <w:r>
        <w:br/>
      </w:r>
      <w:r>
        <w:rPr>
          <w:rFonts w:ascii="Arial" w:hAnsi="Arial" w:cs="Arial" w:eastAsia="Arial"/>
          <w:color w:val="5A6478"/>
          <w:sz w:val="17"/>
          <w:szCs w:val="17"/>
          <w:rtl/>
        </w:rPr>
        <w:t xml:space="preserve">**** متوسط أداء المؤشر الاسترشادي يعادل </w:t>
      </w:r>
      <w:r>
        <w:rPr>
          <w:rFonts w:ascii="Arial" w:hAnsi="Arial" w:cs="Arial" w:eastAsia="Arial"/>
          <w:color w:val="5A6478"/>
          <w:sz w:val="17"/>
          <w:szCs w:val="17"/>
        </w:rPr>
        <w:t>‎7.92%‎</w:t>
      </w:r>
      <w:r>
        <w:rPr>
          <w:rFonts w:ascii="Arial" w:hAnsi="Arial" w:cs="Arial" w:eastAsia="Arial"/>
          <w:color w:val="5A6478"/>
          <w:sz w:val="17"/>
          <w:szCs w:val="17"/>
          <w:rtl/>
        </w:rPr>
        <w:t xml:space="preserve"> سنويًا، أي ما يعادل عائد </w:t>
      </w:r>
      <w:r>
        <w:rPr>
          <w:rFonts w:ascii="Arial" w:hAnsi="Arial" w:cs="Arial" w:eastAsia="Arial"/>
          <w:color w:val="5A6478"/>
          <w:sz w:val="17"/>
          <w:szCs w:val="17"/>
        </w:rPr>
        <w:t>‎1.90%‎</w:t>
      </w:r>
      <w:r>
        <w:rPr>
          <w:rFonts w:ascii="Arial" w:hAnsi="Arial" w:cs="Arial" w:eastAsia="Arial"/>
          <w:color w:val="5A6478"/>
          <w:sz w:val="17"/>
          <w:szCs w:val="17"/>
          <w:rtl/>
        </w:rPr>
        <w:t xml:space="preserve"> للربع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6"/>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إلى صافي قيمة الوحدة "أداء الصندوق"</w:t>
            </w:r>
          </w:p>
        </w:tc>
        <w:tc>
          <w:tcPr>
            <w:tcW w:type="dxa" w:w="1663"/>
          </w:tcPr>
          <w:p>
            <w:pPr>
              <w:bidi w:val="1"/>
              <w:spacing w:before="0" w:after="0" w:line="264" w:lineRule="auto"/>
            </w:pPr>
            <w:r>
              <w:rPr>
                <w:rFonts w:ascii="Arial" w:hAnsi="Arial" w:cs="Arial" w:eastAsia="Arial"/>
                <w:color w:val="0E1E3A"/>
                <w:sz w:val="17"/>
                <w:szCs w:val="17"/>
              </w:rPr>
              <w:t>‎1.55%‎</w:t>
            </w:r>
          </w:p>
        </w:tc>
        <w:tc>
          <w:tcPr>
            <w:tcW w:type="dxa" w:w="1663"/>
          </w:tcPr>
          <w:p>
            <w:pPr>
              <w:bidi w:val="1"/>
              <w:spacing w:before="0" w:after="0" w:line="264" w:lineRule="auto"/>
            </w:pPr>
            <w:r>
              <w:rPr>
                <w:rFonts w:ascii="Arial" w:hAnsi="Arial" w:cs="Arial" w:eastAsia="Arial"/>
                <w:color w:val="0E1E3A"/>
                <w:sz w:val="17"/>
                <w:szCs w:val="17"/>
              </w:rPr>
              <w:t>‎1.55%‎</w:t>
            </w:r>
          </w:p>
        </w:tc>
        <w:tc>
          <w:tcPr>
            <w:tcW w:type="dxa" w:w="1663"/>
          </w:tcPr>
          <w:p>
            <w:pPr>
              <w:bidi w:val="1"/>
              <w:spacing w:before="0" w:after="0" w:line="264" w:lineRule="auto"/>
            </w:pPr>
            <w:r>
              <w:rPr>
                <w:rFonts w:ascii="Arial" w:hAnsi="Arial" w:cs="Arial" w:eastAsia="Arial"/>
                <w:color w:val="0E1E3A"/>
                <w:sz w:val="17"/>
                <w:szCs w:val="17"/>
              </w:rPr>
              <w:t>‎5.87%‎</w:t>
            </w:r>
          </w:p>
        </w:tc>
        <w:tc>
          <w:tcPr>
            <w:tcW w:type="dxa" w:w="1663"/>
          </w:tcPr>
          <w:p>
            <w:pPr>
              <w:bidi w:val="1"/>
              <w:spacing w:before="0" w:after="0" w:line="264" w:lineRule="auto"/>
            </w:pPr>
            <w:r>
              <w:rPr>
                <w:rFonts w:ascii="Arial" w:hAnsi="Arial" w:cs="Arial" w:eastAsia="Arial"/>
                <w:color w:val="0E1E3A"/>
                <w:sz w:val="17"/>
                <w:szCs w:val="17"/>
              </w:rPr>
              <w:t>‎14.37%‎</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‎1.90%‎</w:t>
            </w:r>
          </w:p>
        </w:tc>
        <w:tc>
          <w:tcPr>
            <w:tcW w:type="dxa" w:w="1663"/>
          </w:tcPr>
          <w:p>
            <w:pPr>
              <w:bidi w:val="1"/>
              <w:spacing w:before="0" w:after="0" w:line="264" w:lineRule="auto"/>
            </w:pPr>
            <w:r>
              <w:rPr>
                <w:rFonts w:ascii="Arial" w:hAnsi="Arial" w:cs="Arial" w:eastAsia="Arial"/>
                <w:color w:val="0E1E3A"/>
                <w:sz w:val="17"/>
                <w:szCs w:val="17"/>
              </w:rPr>
              <w:t>‎1.90%‎</w:t>
            </w:r>
          </w:p>
        </w:tc>
        <w:tc>
          <w:tcPr>
            <w:tcW w:type="dxa" w:w="1663"/>
          </w:tcPr>
          <w:p>
            <w:pPr>
              <w:bidi w:val="1"/>
              <w:spacing w:before="0" w:after="0" w:line="264" w:lineRule="auto"/>
            </w:pPr>
            <w:r>
              <w:rPr>
                <w:rFonts w:ascii="Arial" w:hAnsi="Arial" w:cs="Arial" w:eastAsia="Arial"/>
                <w:color w:val="0E1E3A"/>
                <w:sz w:val="17"/>
                <w:szCs w:val="17"/>
              </w:rPr>
              <w:t>‎8.10%‎</w:t>
            </w:r>
          </w:p>
        </w:tc>
        <w:tc>
          <w:tcPr>
            <w:tcW w:type="dxa" w:w="1663"/>
          </w:tcPr>
          <w:p>
            <w:pPr>
              <w:bidi w:val="1"/>
              <w:spacing w:before="0" w:after="0" w:line="264" w:lineRule="auto"/>
            </w:pPr>
            <w:r>
              <w:rPr>
                <w:rFonts w:ascii="Arial" w:hAnsi="Arial" w:cs="Arial" w:eastAsia="Arial"/>
                <w:color w:val="0E1E3A"/>
                <w:sz w:val="17"/>
                <w:szCs w:val="17"/>
              </w:rPr>
              <w:t>‎20.52%‎</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‎-0.35%‎</w:t>
            </w:r>
          </w:p>
        </w:tc>
        <w:tc>
          <w:tcPr>
            <w:tcW w:type="dxa" w:w="1663"/>
          </w:tcPr>
          <w:p>
            <w:pPr>
              <w:bidi w:val="1"/>
              <w:spacing w:before="0" w:after="0" w:line="264" w:lineRule="auto"/>
            </w:pPr>
            <w:r>
              <w:rPr>
                <w:rFonts w:ascii="Arial" w:hAnsi="Arial" w:cs="Arial" w:eastAsia="Arial"/>
                <w:color w:val="0E1E3A"/>
                <w:sz w:val="17"/>
                <w:szCs w:val="17"/>
              </w:rPr>
              <w:t>‎-0.35%‎</w:t>
            </w:r>
          </w:p>
        </w:tc>
        <w:tc>
          <w:tcPr>
            <w:tcW w:type="dxa" w:w="1663"/>
          </w:tcPr>
          <w:p>
            <w:pPr>
              <w:bidi w:val="1"/>
              <w:spacing w:before="0" w:after="0" w:line="264" w:lineRule="auto"/>
            </w:pPr>
            <w:r>
              <w:rPr>
                <w:rFonts w:ascii="Arial" w:hAnsi="Arial" w:cs="Arial" w:eastAsia="Arial"/>
                <w:color w:val="0E1E3A"/>
                <w:sz w:val="17"/>
                <w:szCs w:val="17"/>
              </w:rPr>
              <w:t>‎-2.23%‎</w:t>
            </w:r>
          </w:p>
        </w:tc>
        <w:tc>
          <w:tcPr>
            <w:tcW w:type="dxa" w:w="1663"/>
          </w:tcPr>
          <w:p>
            <w:pPr>
              <w:bidi w:val="1"/>
              <w:spacing w:before="0" w:after="0" w:line="264" w:lineRule="auto"/>
            </w:pPr>
            <w:r>
              <w:rPr>
                <w:rFonts w:ascii="Arial" w:hAnsi="Arial" w:cs="Arial" w:eastAsia="Arial"/>
                <w:color w:val="0E1E3A"/>
                <w:sz w:val="17"/>
                <w:szCs w:val="17"/>
              </w:rPr>
              <w:t>‎-6.15%‎</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xml:space="preserve">* عن الفترة من 31 ديسمير 2023م إلى 31 مارس 2024م. متضمنة التوزيعات النقدية بنسبة </w:t>
      </w:r>
      <w:r>
        <w:rPr>
          <w:rFonts w:ascii="Arial" w:hAnsi="Arial" w:cs="Arial" w:eastAsia="Arial"/>
          <w:color w:val="5A6478"/>
          <w:sz w:val="17"/>
          <w:szCs w:val="17"/>
        </w:rPr>
        <w:t>‎2.9%‎</w:t>
      </w:r>
      <w:r>
        <w:rPr>
          <w:rFonts w:ascii="Arial" w:hAnsi="Arial" w:cs="Arial" w:eastAsia="Arial"/>
          <w:color w:val="5A6478"/>
          <w:sz w:val="17"/>
          <w:szCs w:val="17"/>
          <w:rtl/>
        </w:rPr>
        <w:t>.</w:t>
      </w:r>
      <w:r>
        <w:br/>
      </w:r>
      <w:r>
        <w:rPr>
          <w:rFonts w:ascii="Arial" w:hAnsi="Arial" w:cs="Arial" w:eastAsia="Arial"/>
          <w:color w:val="5A6478"/>
          <w:sz w:val="17"/>
          <w:szCs w:val="17"/>
          <w:rtl/>
        </w:rPr>
        <w:t xml:space="preserve">** عن الفترة من 31 ديسمبر 2023م إلى 31 مارس 2024م متضمنة التوزيعات النقدية بنسبة </w:t>
      </w:r>
      <w:r>
        <w:rPr>
          <w:rFonts w:ascii="Arial" w:hAnsi="Arial" w:cs="Arial" w:eastAsia="Arial"/>
          <w:color w:val="5A6478"/>
          <w:sz w:val="17"/>
          <w:szCs w:val="17"/>
        </w:rPr>
        <w:t>‎5.70%‎</w:t>
      </w:r>
      <w:r>
        <w:rPr>
          <w:rFonts w:ascii="Arial" w:hAnsi="Arial" w:cs="Arial" w:eastAsia="Arial"/>
          <w:color w:val="5A6478"/>
          <w:sz w:val="17"/>
          <w:szCs w:val="17"/>
          <w:rtl/>
        </w:rPr>
        <w:t>.</w:t>
      </w:r>
      <w:r>
        <w:br/>
      </w:r>
      <w:r>
        <w:rPr>
          <w:rFonts w:ascii="Arial" w:hAnsi="Arial" w:cs="Arial" w:eastAsia="Arial"/>
          <w:color w:val="5A6478"/>
          <w:sz w:val="17"/>
          <w:szCs w:val="17"/>
          <w:rtl/>
        </w:rPr>
        <w:t xml:space="preserve">*** عن الفترة من 31 مارس 2023م إلى 31 مارس 2024م متضمنة توزيعات نقدية بنسبة </w:t>
      </w:r>
      <w:r>
        <w:rPr>
          <w:rFonts w:ascii="Arial" w:hAnsi="Arial" w:cs="Arial" w:eastAsia="Arial"/>
          <w:color w:val="5A6478"/>
          <w:sz w:val="17"/>
          <w:szCs w:val="17"/>
        </w:rPr>
        <w:t>‎5.70%‎</w:t>
      </w:r>
      <w:r>
        <w:rPr>
          <w:rFonts w:ascii="Arial" w:hAnsi="Arial" w:cs="Arial" w:eastAsia="Arial"/>
          <w:color w:val="5A6478"/>
          <w:sz w:val="17"/>
          <w:szCs w:val="17"/>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7"/>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1</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2</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3</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 4</w:t>
            </w:r>
          </w:p>
        </w:tc>
        <w:tc>
          <w:tcPr>
            <w:tcW w:type="dxa" w:w="1663"/>
          </w:tcPr>
          <w:p>
            <w:pPr>
              <w:bidi w:val="1"/>
              <w:spacing w:before="0" w:after="0" w:line="264" w:lineRule="auto"/>
            </w:pPr>
            <w:r>
              <w:rPr>
                <w:rFonts w:ascii="Arial" w:hAnsi="Arial" w:cs="Arial" w:eastAsia="Arial"/>
                <w:color w:val="0E1E3A"/>
                <w:sz w:val="17"/>
                <w:szCs w:val="17"/>
                <w:rtl/>
              </w:rPr>
              <w:t>7.99</w:t>
            </w:r>
          </w:p>
        </w:tc>
        <w:tc>
          <w:tcPr>
            <w:tcW w:type="dxa" w:w="1663"/>
          </w:tcPr>
          <w:p>
            <w:pPr>
              <w:bidi w:val="1"/>
              <w:spacing w:before="0" w:after="0" w:line="264" w:lineRule="auto"/>
            </w:pPr>
            <w:r>
              <w:rPr>
                <w:rFonts w:ascii="Arial" w:hAnsi="Arial" w:cs="Arial" w:eastAsia="Arial"/>
                <w:color w:val="0E1E3A"/>
                <w:sz w:val="17"/>
                <w:szCs w:val="17"/>
                <w:rtl/>
              </w:rPr>
              <w:t>7.99</w:t>
            </w:r>
          </w:p>
        </w:tc>
        <w:tc>
          <w:tcPr>
            <w:tcW w:type="dxa" w:w="1663"/>
          </w:tcPr>
          <w:p>
            <w:pPr>
              <w:bidi w:val="1"/>
              <w:spacing w:before="0" w:after="0" w:line="264" w:lineRule="auto"/>
            </w:pPr>
            <w:r>
              <w:rPr>
                <w:rFonts w:ascii="Arial" w:hAnsi="Arial" w:cs="Arial" w:eastAsia="Arial"/>
                <w:color w:val="0E1E3A"/>
                <w:sz w:val="17"/>
                <w:szCs w:val="17"/>
                <w:rtl/>
              </w:rPr>
              <w:t>11.05</w:t>
            </w:r>
          </w:p>
        </w:tc>
        <w:tc>
          <w:tcPr>
            <w:tcW w:type="dxa" w:w="1663"/>
          </w:tcPr>
          <w:p>
            <w:pPr>
              <w:bidi w:val="1"/>
              <w:spacing w:before="0" w:after="0" w:line="264" w:lineRule="auto"/>
            </w:pPr>
            <w:r>
              <w:rPr>
                <w:rFonts w:ascii="Arial" w:hAnsi="Arial" w:cs="Arial" w:eastAsia="Arial"/>
                <w:color w:val="0E1E3A"/>
                <w:sz w:val="17"/>
                <w:szCs w:val="17"/>
                <w:rtl/>
              </w:rPr>
              <w:t>13.71</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 5</w:t>
            </w:r>
          </w:p>
        </w:tc>
        <w:tc>
          <w:tcPr>
            <w:tcW w:type="dxa" w:w="1663"/>
          </w:tcPr>
          <w:p>
            <w:pPr>
              <w:bidi w:val="1"/>
              <w:spacing w:before="0" w:after="0" w:line="264" w:lineRule="auto"/>
            </w:pPr>
            <w:r>
              <w:rPr>
                <w:rFonts w:ascii="Arial" w:hAnsi="Arial" w:cs="Arial" w:eastAsia="Arial"/>
                <w:color w:val="0E1E3A"/>
                <w:sz w:val="17"/>
                <w:szCs w:val="17"/>
                <w:rtl/>
              </w:rPr>
              <w:t>0.46</w:t>
            </w:r>
          </w:p>
        </w:tc>
        <w:tc>
          <w:tcPr>
            <w:tcW w:type="dxa" w:w="1663"/>
          </w:tcPr>
          <w:p>
            <w:pPr>
              <w:bidi w:val="1"/>
              <w:spacing w:before="0" w:after="0" w:line="264" w:lineRule="auto"/>
            </w:pPr>
            <w:r>
              <w:rPr>
                <w:rFonts w:ascii="Arial" w:hAnsi="Arial" w:cs="Arial" w:eastAsia="Arial"/>
                <w:color w:val="0E1E3A"/>
                <w:sz w:val="17"/>
                <w:szCs w:val="17"/>
                <w:rtl/>
              </w:rPr>
              <w:t>0.46</w:t>
            </w:r>
          </w:p>
        </w:tc>
        <w:tc>
          <w:tcPr>
            <w:tcW w:type="dxa" w:w="1663"/>
          </w:tcPr>
          <w:p>
            <w:pPr>
              <w:bidi w:val="1"/>
              <w:spacing w:before="0" w:after="0" w:line="264" w:lineRule="auto"/>
            </w:pPr>
            <w:r>
              <w:rPr>
                <w:rFonts w:ascii="Arial" w:hAnsi="Arial" w:cs="Arial" w:eastAsia="Arial"/>
                <w:color w:val="0E1E3A"/>
                <w:sz w:val="17"/>
                <w:szCs w:val="17"/>
                <w:rtl/>
              </w:rPr>
              <w:t>1.15</w:t>
            </w:r>
          </w:p>
        </w:tc>
        <w:tc>
          <w:tcPr>
            <w:tcW w:type="dxa" w:w="1663"/>
          </w:tcPr>
          <w:p>
            <w:pPr>
              <w:bidi w:val="1"/>
              <w:spacing w:before="0" w:after="0" w:line="264" w:lineRule="auto"/>
            </w:pPr>
            <w:r>
              <w:rPr>
                <w:rFonts w:ascii="Arial" w:hAnsi="Arial" w:cs="Arial" w:eastAsia="Arial"/>
                <w:color w:val="0E1E3A"/>
                <w:sz w:val="17"/>
                <w:szCs w:val="17"/>
                <w:rtl/>
              </w:rPr>
              <w:t>-0.44</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6</w:t>
            </w:r>
          </w:p>
        </w:tc>
        <w:tc>
          <w:tcPr>
            <w:tcW w:type="dxa" w:w="1663"/>
          </w:tcPr>
          <w:p>
            <w:pPr>
              <w:bidi w:val="1"/>
              <w:spacing w:before="0" w:after="0" w:line="264" w:lineRule="auto"/>
            </w:pPr>
            <w:r>
              <w:rPr>
                <w:rFonts w:ascii="Arial" w:hAnsi="Arial" w:cs="Arial" w:eastAsia="Arial"/>
                <w:color w:val="0E1E3A"/>
                <w:sz w:val="17"/>
                <w:szCs w:val="17"/>
                <w:rtl/>
              </w:rPr>
              <w:t>8.01</w:t>
            </w:r>
          </w:p>
        </w:tc>
        <w:tc>
          <w:tcPr>
            <w:tcW w:type="dxa" w:w="1663"/>
          </w:tcPr>
          <w:p>
            <w:pPr>
              <w:bidi w:val="1"/>
              <w:spacing w:before="0" w:after="0" w:line="264" w:lineRule="auto"/>
            </w:pPr>
            <w:r>
              <w:rPr>
                <w:rFonts w:ascii="Arial" w:hAnsi="Arial" w:cs="Arial" w:eastAsia="Arial"/>
                <w:color w:val="0E1E3A"/>
                <w:sz w:val="17"/>
                <w:szCs w:val="17"/>
                <w:rtl/>
              </w:rPr>
              <w:t>8.01</w:t>
            </w:r>
          </w:p>
        </w:tc>
        <w:tc>
          <w:tcPr>
            <w:tcW w:type="dxa" w:w="1663"/>
          </w:tcPr>
          <w:p>
            <w:pPr>
              <w:bidi w:val="1"/>
              <w:spacing w:before="0" w:after="0" w:line="264" w:lineRule="auto"/>
            </w:pPr>
            <w:r>
              <w:rPr>
                <w:rFonts w:ascii="Arial" w:hAnsi="Arial" w:cs="Arial" w:eastAsia="Arial"/>
                <w:color w:val="0E1E3A"/>
                <w:sz w:val="17"/>
                <w:szCs w:val="17"/>
                <w:rtl/>
              </w:rPr>
              <w:t>11.20</w:t>
            </w:r>
          </w:p>
        </w:tc>
        <w:tc>
          <w:tcPr>
            <w:tcW w:type="dxa" w:w="1663"/>
          </w:tcPr>
          <w:p>
            <w:pPr>
              <w:bidi w:val="1"/>
              <w:spacing w:before="0" w:after="0" w:line="264" w:lineRule="auto"/>
            </w:pPr>
            <w:r>
              <w:rPr>
                <w:rFonts w:ascii="Arial" w:hAnsi="Arial" w:cs="Arial" w:eastAsia="Arial"/>
                <w:color w:val="0E1E3A"/>
                <w:sz w:val="17"/>
                <w:szCs w:val="17"/>
                <w:rtl/>
              </w:rPr>
              <w:t>13.76</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7</w:t>
            </w:r>
          </w:p>
        </w:tc>
        <w:tc>
          <w:tcPr>
            <w:tcW w:type="dxa" w:w="1663"/>
          </w:tcPr>
          <w:p>
            <w:pPr>
              <w:bidi w:val="1"/>
              <w:spacing w:before="0" w:after="0" w:line="264" w:lineRule="auto"/>
            </w:pPr>
            <w:r>
              <w:rPr>
                <w:rFonts w:ascii="Arial" w:hAnsi="Arial" w:cs="Arial" w:eastAsia="Arial"/>
                <w:color w:val="0E1E3A"/>
                <w:sz w:val="17"/>
                <w:szCs w:val="17"/>
                <w:rtl/>
              </w:rPr>
              <w:t>-0.13</w:t>
            </w:r>
          </w:p>
        </w:tc>
        <w:tc>
          <w:tcPr>
            <w:tcW w:type="dxa" w:w="1663"/>
          </w:tcPr>
          <w:p>
            <w:pPr>
              <w:bidi w:val="1"/>
              <w:spacing w:before="0" w:after="0" w:line="264" w:lineRule="auto"/>
            </w:pPr>
            <w:r>
              <w:rPr>
                <w:rFonts w:ascii="Arial" w:hAnsi="Arial" w:cs="Arial" w:eastAsia="Arial"/>
                <w:color w:val="0E1E3A"/>
                <w:sz w:val="17"/>
                <w:szCs w:val="17"/>
                <w:rtl/>
              </w:rPr>
              <w:t>-0.13</w:t>
            </w:r>
          </w:p>
        </w:tc>
        <w:tc>
          <w:tcPr>
            <w:tcW w:type="dxa" w:w="1663"/>
          </w:tcPr>
          <w:p>
            <w:pPr>
              <w:bidi w:val="1"/>
              <w:spacing w:before="0" w:after="0" w:line="264" w:lineRule="auto"/>
            </w:pPr>
            <w:r>
              <w:rPr>
                <w:rFonts w:ascii="Arial" w:hAnsi="Arial" w:cs="Arial" w:eastAsia="Arial"/>
                <w:color w:val="0E1E3A"/>
                <w:sz w:val="17"/>
                <w:szCs w:val="17"/>
                <w:rtl/>
              </w:rPr>
              <w:t>-1.98</w:t>
            </w:r>
          </w:p>
        </w:tc>
        <w:tc>
          <w:tcPr>
            <w:tcW w:type="dxa" w:w="1663"/>
          </w:tcPr>
          <w:p>
            <w:pPr>
              <w:bidi w:val="1"/>
              <w:spacing w:before="0" w:after="0" w:line="264" w:lineRule="auto"/>
            </w:pPr>
            <w:r>
              <w:rPr>
                <w:rFonts w:ascii="Arial" w:hAnsi="Arial" w:cs="Arial" w:eastAsia="Arial"/>
                <w:color w:val="0E1E3A"/>
                <w:sz w:val="17"/>
                <w:szCs w:val="17"/>
                <w:rtl/>
              </w:rPr>
              <w:t>-1.75</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8</w:t>
            </w:r>
          </w:p>
        </w:tc>
        <w:tc>
          <w:tcPr>
            <w:tcW w:type="dxa" w:w="1663"/>
          </w:tcPr>
          <w:p>
            <w:pPr>
              <w:bidi w:val="1"/>
              <w:spacing w:before="0" w:after="0" w:line="264" w:lineRule="auto"/>
            </w:pPr>
            <w:r>
              <w:rPr>
                <w:rFonts w:ascii="Arial" w:hAnsi="Arial" w:cs="Arial" w:eastAsia="Arial"/>
                <w:color w:val="0E1E3A"/>
                <w:sz w:val="17"/>
                <w:szCs w:val="17"/>
                <w:rtl/>
              </w:rPr>
              <w:t>0.68</w:t>
            </w:r>
          </w:p>
        </w:tc>
        <w:tc>
          <w:tcPr>
            <w:tcW w:type="dxa" w:w="1663"/>
          </w:tcPr>
          <w:p>
            <w:pPr>
              <w:bidi w:val="1"/>
              <w:spacing w:before="0" w:after="0" w:line="264" w:lineRule="auto"/>
            </w:pPr>
            <w:r>
              <w:rPr>
                <w:rFonts w:ascii="Arial" w:hAnsi="Arial" w:cs="Arial" w:eastAsia="Arial"/>
                <w:color w:val="0E1E3A"/>
                <w:sz w:val="17"/>
                <w:szCs w:val="17"/>
                <w:rtl/>
              </w:rPr>
              <w:t>0.68</w:t>
            </w:r>
          </w:p>
        </w:tc>
        <w:tc>
          <w:tcPr>
            <w:tcW w:type="dxa" w:w="1663"/>
          </w:tcPr>
          <w:p>
            <w:pPr>
              <w:bidi w:val="1"/>
              <w:spacing w:before="0" w:after="0" w:line="264" w:lineRule="auto"/>
            </w:pPr>
            <w:r>
              <w:rPr>
                <w:rFonts w:ascii="Arial" w:hAnsi="Arial" w:cs="Arial" w:eastAsia="Arial"/>
                <w:color w:val="0E1E3A"/>
                <w:sz w:val="17"/>
                <w:szCs w:val="17"/>
                <w:rtl/>
              </w:rPr>
              <w:t>8.59</w:t>
            </w:r>
          </w:p>
        </w:tc>
        <w:tc>
          <w:tcPr>
            <w:tcW w:type="dxa" w:w="1663"/>
          </w:tcPr>
          <w:p>
            <w:pPr>
              <w:bidi w:val="1"/>
              <w:spacing w:before="0" w:after="0" w:line="264" w:lineRule="auto"/>
            </w:pPr>
            <w:r>
              <w:rPr>
                <w:rFonts w:ascii="Arial" w:hAnsi="Arial" w:cs="Arial" w:eastAsia="Arial"/>
                <w:color w:val="0E1E3A"/>
                <w:sz w:val="17"/>
                <w:szCs w:val="17"/>
                <w:rtl/>
              </w:rPr>
              <w:t>-8.69</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 9</w:t>
            </w:r>
          </w:p>
        </w:tc>
        <w:tc>
          <w:tcPr>
            <w:tcW w:type="dxa" w:w="1663"/>
          </w:tcPr>
          <w:p>
            <w:pPr>
              <w:bidi w:val="1"/>
              <w:spacing w:before="0" w:after="0" w:line="264" w:lineRule="auto"/>
            </w:pPr>
            <w:r>
              <w:rPr>
                <w:rFonts w:ascii="Arial" w:hAnsi="Arial" w:cs="Arial" w:eastAsia="Arial"/>
                <w:color w:val="0E1E3A"/>
                <w:sz w:val="17"/>
                <w:szCs w:val="17"/>
                <w:rtl/>
              </w:rPr>
              <w:t>0.09</w:t>
            </w:r>
          </w:p>
        </w:tc>
        <w:tc>
          <w:tcPr>
            <w:tcW w:type="dxa" w:w="1663"/>
          </w:tcPr>
          <w:p>
            <w:pPr>
              <w:bidi w:val="1"/>
              <w:spacing w:before="0" w:after="0" w:line="264" w:lineRule="auto"/>
            </w:pPr>
            <w:r>
              <w:rPr>
                <w:rFonts w:ascii="Arial" w:hAnsi="Arial" w:cs="Arial" w:eastAsia="Arial"/>
                <w:color w:val="0E1E3A"/>
                <w:sz w:val="17"/>
                <w:szCs w:val="17"/>
                <w:rtl/>
              </w:rPr>
              <w:t>0.09</w:t>
            </w:r>
          </w:p>
        </w:tc>
        <w:tc>
          <w:tcPr>
            <w:tcW w:type="dxa" w:w="1663"/>
          </w:tcPr>
          <w:p>
            <w:pPr>
              <w:bidi w:val="1"/>
              <w:spacing w:before="0" w:after="0" w:line="264" w:lineRule="auto"/>
            </w:pPr>
            <w:r>
              <w:rPr>
                <w:rFonts w:ascii="Arial" w:hAnsi="Arial" w:cs="Arial" w:eastAsia="Arial"/>
                <w:color w:val="0E1E3A"/>
                <w:sz w:val="17"/>
                <w:szCs w:val="17"/>
                <w:rtl/>
              </w:rPr>
              <w:t>0.77</w:t>
            </w:r>
          </w:p>
        </w:tc>
        <w:tc>
          <w:tcPr>
            <w:tcW w:type="dxa" w:w="1663"/>
          </w:tcPr>
          <w:p>
            <w:pPr>
              <w:bidi w:val="1"/>
              <w:spacing w:before="0" w:after="0" w:line="264" w:lineRule="auto"/>
            </w:pPr>
            <w:r>
              <w:rPr>
                <w:rFonts w:ascii="Arial" w:hAnsi="Arial" w:cs="Arial" w:eastAsia="Arial"/>
                <w:color w:val="0E1E3A"/>
                <w:sz w:val="17"/>
                <w:szCs w:val="17"/>
                <w:rtl/>
              </w:rPr>
              <w:t>-0.63</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31 ديسمبر 2023م إلى 31 مارس 2024م.</w:t>
      </w:r>
      <w:r>
        <w:br/>
      </w:r>
      <w:r>
        <w:rPr>
          <w:rFonts w:ascii="Arial" w:hAnsi="Arial" w:cs="Arial" w:eastAsia="Arial"/>
          <w:color w:val="5A6478"/>
          <w:sz w:val="17"/>
          <w:szCs w:val="17"/>
          <w:rtl/>
        </w:rPr>
        <w:t>2. عن الفترة من 31 ديسمبر 2023م إلى 3 1 مارس 2024م.</w:t>
      </w:r>
      <w:r>
        <w:br/>
      </w:r>
      <w:r>
        <w:rPr>
          <w:rFonts w:ascii="Arial" w:hAnsi="Arial" w:cs="Arial" w:eastAsia="Arial"/>
          <w:color w:val="5A6478"/>
          <w:sz w:val="17"/>
          <w:szCs w:val="17"/>
          <w:rtl/>
        </w:rPr>
        <w:t>3. عن الفترة من 31 مارس 2023م إلى 31 مارس 2024م.</w:t>
      </w:r>
      <w:r>
        <w:br/>
      </w:r>
      <w:r>
        <w:rPr>
          <w:rFonts w:ascii="Arial" w:hAnsi="Arial" w:cs="Arial" w:eastAsia="Arial"/>
          <w:color w:val="5A6478"/>
          <w:sz w:val="17"/>
          <w:szCs w:val="17"/>
          <w:rtl/>
        </w:rPr>
        <w:t>4.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5.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أداءه حسب المخاطر أفضل.</w:t>
      </w:r>
      <w:r>
        <w:br/>
      </w:r>
      <w:r>
        <w:rPr>
          <w:rFonts w:ascii="Arial" w:hAnsi="Arial" w:cs="Arial" w:eastAsia="Arial"/>
          <w:color w:val="5A6478"/>
          <w:sz w:val="17"/>
          <w:szCs w:val="17"/>
          <w:rtl/>
        </w:rPr>
        <w:t>6.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7.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8. ألفا يقيس أي تفوق حققه أداء الصندوق مقارنةً بأداء المؤشر المرتبط به.</w:t>
      </w:r>
      <w:r>
        <w:br/>
      </w:r>
      <w:r>
        <w:rPr>
          <w:rFonts w:ascii="Arial" w:hAnsi="Arial" w:cs="Arial" w:eastAsia="Arial"/>
          <w:color w:val="5A6478"/>
          <w:sz w:val="17"/>
          <w:szCs w:val="17"/>
          <w:rtl/>
        </w:rPr>
        <w:t>9.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 تم احتساب معايير الأداء والمخاطر بناءً على أسعار تداول للوحدة في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48"/>
            <wp:cNvGraphicFramePr>
              <a:graphicFrameLocks noChangeAspect="1"/>
            </wp:cNvGraphicFramePr>
            <a:graphic>
              <a:graphicData uri="http://schemas.openxmlformats.org/drawingml/2006/picture">
                <pic:pic>
                  <pic:nvPicPr>
                    <pic:cNvPr id="0" name="ico_c788ceab6c6867ef93d8dd6b26beef99.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وأية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لا توجد مستجدات أو تغييرات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4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حافظ الاحتياطي الفدرالي الأمريكي في اجتماعه لشهر ديسمبر 2023م على سعر الفائدة الأساسي، وواصل حملته للسيطرة على التضخم. ولكن على الرغم من ارتفاع أسعار الفائدة، لا تزال شركات أمريكية كثيرة تستثمر في أصول منتجة، ما يشير إلى مدى قوة حجم الطلب على تمويل إجارة المعدات.</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أظهر مؤشر التأجير والتمويل الشهري (أم أل أف آي – 25) الذي تصدره جمعية تأجير وتمويل المعدات في الولايات المتحدة الأمريكية والذي يشتمل على بيانات النشاط الاقتصادي لخمس وعشرين شركة تمثل شرائح مختلفة من قطاع تمويل المعدات الذي تقدر قيمته بما مجموعه ترليون دولار أمريكي، أن الحجم العام للأعمال الجديدة لشركات المؤشر لشهر نوفمبر 2023م قد بلغ 8.3 مليار دولار أمريكي، دون أي تغيير، مقارنةً بنفس الشهر من السنة السابقة، ولكن بانخفاض بنسبة </w:t>
      </w:r>
      <w:r>
        <w:rPr>
          <w:rFonts w:ascii="Arial" w:hAnsi="Arial" w:cs="Arial" w:eastAsia="Arial"/>
          <w:color w:val="0E1E3A"/>
          <w:sz w:val="20"/>
          <w:szCs w:val="20"/>
        </w:rPr>
        <w:t>‎19%‎</w:t>
      </w:r>
      <w:r>
        <w:rPr>
          <w:rFonts w:ascii="Arial" w:hAnsi="Arial" w:cs="Arial" w:eastAsia="Arial"/>
          <w:color w:val="0E1E3A"/>
          <w:sz w:val="20"/>
          <w:szCs w:val="20"/>
          <w:rtl/>
        </w:rPr>
        <w:t xml:space="preserve"> مقارنةً بالشهر السابق، من 10.4 مليار دولار أمريكي في شهر أكتوبر. وقد ارتفع حجم الأعمال الجديدة.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خلال الاجتماع في مارس، أبقى بنك الفيدرالي الأمريكي سعر الفائدة الرئيسي ثابتًا عند </w:t>
      </w:r>
      <w:r>
        <w:rPr>
          <w:rFonts w:ascii="Arial" w:hAnsi="Arial" w:cs="Arial" w:eastAsia="Arial"/>
          <w:color w:val="0E1E3A"/>
          <w:sz w:val="20"/>
          <w:szCs w:val="20"/>
        </w:rPr>
        <w:t>‎5.25%‎</w:t>
      </w:r>
      <w:r>
        <w:rPr>
          <w:rFonts w:ascii="Arial" w:hAnsi="Arial" w:cs="Arial" w:eastAsia="Arial"/>
          <w:color w:val="0E1E3A"/>
          <w:sz w:val="20"/>
          <w:szCs w:val="20"/>
          <w:rtl/>
        </w:rPr>
        <w:t xml:space="preserve"> إلى </w:t>
      </w:r>
      <w:r>
        <w:rPr>
          <w:rFonts w:ascii="Arial" w:hAnsi="Arial" w:cs="Arial" w:eastAsia="Arial"/>
          <w:color w:val="0E1E3A"/>
          <w:sz w:val="20"/>
          <w:szCs w:val="20"/>
        </w:rPr>
        <w:t>‎5.50%‎</w:t>
      </w:r>
      <w:r>
        <w:rPr>
          <w:rFonts w:ascii="Arial" w:hAnsi="Arial" w:cs="Arial" w:eastAsia="Arial"/>
          <w:color w:val="0E1E3A"/>
          <w:sz w:val="20"/>
          <w:szCs w:val="20"/>
          <w:rtl/>
        </w:rPr>
        <w:t>، لكنه أشار إلى خطط لخفض أسعار الفائدة في العام 2024م، وتتوقع جمعية تأجير وتمويل المعدات (ELFA) تخفيضات بنك الاحتياطي الفيدرالي التدريجي في أسعار الفائدة في العام 2024م وما بعده مواتية للطلب على الائتمان وتوافره.</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أظهر مؤشر ELFA للإجارة والتمويل الشهري (MLFI-25)، الذي يوضح النشاط الاقتصادي لخمس وعشرين شركة تمثل قطاعًا عريضًا من قطاع تمويل المعدات بقيمة تريليون دولار أمريكي، أن إجمالي حجم أعمالها الجديدة لشهر فبراير 2024م بلغ 7.9 مليار دولار أمريكي، وهو ما يمثل 7.9 مليار دولار أمريكي. ارتفاع بنسبة </w:t>
      </w:r>
      <w:r>
        <w:rPr>
          <w:rFonts w:ascii="Arial" w:hAnsi="Arial" w:cs="Arial" w:eastAsia="Arial"/>
          <w:color w:val="0E1E3A"/>
          <w:sz w:val="20"/>
          <w:szCs w:val="20"/>
        </w:rPr>
        <w:t>‎4.4%‎</w:t>
      </w:r>
      <w:r>
        <w:rPr>
          <w:rFonts w:ascii="Arial" w:hAnsi="Arial" w:cs="Arial" w:eastAsia="Arial"/>
          <w:color w:val="0E1E3A"/>
          <w:sz w:val="20"/>
          <w:szCs w:val="20"/>
          <w:rtl/>
        </w:rPr>
        <w:t xml:space="preserve"> على أساس سنوي. ومنذ بداية العام حتى الآن، ارتفع حجم الأعمال التراكمية الجديدة (7.9 مليار دولار أمريكي) بنسبة </w:t>
      </w:r>
      <w:r>
        <w:rPr>
          <w:rFonts w:ascii="Arial" w:hAnsi="Arial" w:cs="Arial" w:eastAsia="Arial"/>
          <w:color w:val="0E1E3A"/>
          <w:sz w:val="20"/>
          <w:szCs w:val="20"/>
        </w:rPr>
        <w:t>‎4.9%‎</w:t>
      </w:r>
      <w:r>
        <w:rPr>
          <w:rFonts w:ascii="Arial" w:hAnsi="Arial" w:cs="Arial" w:eastAsia="Arial"/>
          <w:color w:val="0E1E3A"/>
          <w:sz w:val="20"/>
          <w:szCs w:val="20"/>
          <w:rtl/>
        </w:rPr>
        <w:t xml:space="preserve"> مقارنة بالعام 2023م.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ارتفاع مؤشر الثقة الشهري لمؤسسة تأجير وتمويل المعدات (ELFF) (MCI-EFI)؛ يشير إلى تقييم نوعي لكل من ظروف العمل السائدة، والتوقعات لمستقبل قطاع تمويل المعدات للشهر الثالث على التوالي، حيث ارتفع من 51.7 في فبراير إلى 55.2 في مارس.</w:t>
      </w:r>
    </w:p>
    <w:p>
      <w:pPr>
        <w:pStyle w:val="Heading3"/>
        <w:keepNext/>
        <w:bidi w:val="1"/>
        <w:spacing w:before="160" w:after="100" w:line="300" w:lineRule="auto"/>
      </w:pPr>
      <w:r>
        <w:rPr>
          <w:rFonts w:ascii="Arial" w:hAnsi="Arial" w:cs="Arial" w:eastAsia="Arial"/>
          <w:b/>
          <w:bCs/>
          <w:color w:val="12284B"/>
          <w:sz w:val="22"/>
          <w:szCs w:val="22"/>
          <w:rtl/>
        </w:rPr>
        <w:t>نظرة على قطاع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لتقرير المستجدات الذي أصدره مؤخرًا مؤتمر الأمم المتحدة للتجارة والتنمية (الأونكتاد)، من المتوقع انخفاض حجم التجارة العالمية في العام 2023م بنسبة </w:t>
      </w:r>
      <w:r>
        <w:rPr>
          <w:rFonts w:ascii="Arial" w:hAnsi="Arial" w:cs="Arial" w:eastAsia="Arial"/>
          <w:color w:val="0E1E3A"/>
          <w:sz w:val="20"/>
          <w:szCs w:val="20"/>
        </w:rPr>
        <w:t>‎4.5%‎</w:t>
      </w:r>
      <w:r>
        <w:rPr>
          <w:rFonts w:ascii="Arial" w:hAnsi="Arial" w:cs="Arial" w:eastAsia="Arial"/>
          <w:color w:val="0E1E3A"/>
          <w:sz w:val="20"/>
          <w:szCs w:val="20"/>
          <w:rtl/>
        </w:rPr>
        <w:t xml:space="preserve"> مقارنةً بحجمها المرتفع غير المسبوق الذي وصلت إليه في العام 2022م.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وعلى الرغم من أن الأونكتاد يتوقع انخفاض قيمة السلع المتبادلة في العام 2023م، لا يزال الاتجاه العام لحجم التجارة الدولية يشير إلى طلب عالمي قوي على المنتجات المستوردة.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اتسعت فجوة تمويل التجارة العالمية لتصل إلى 2.5 ترليون دولار أمريكي (وفقًا لأحدث دراسة أجراها البنك الآسيوي للتنمية في سبتمبر 2023م)، مسجلاً ارتفاعًا بنسبة </w:t>
      </w:r>
      <w:r>
        <w:rPr>
          <w:rFonts w:ascii="Arial" w:hAnsi="Arial" w:cs="Arial" w:eastAsia="Arial"/>
          <w:color w:val="0E1E3A"/>
          <w:sz w:val="20"/>
          <w:szCs w:val="20"/>
        </w:rPr>
        <w:t>‎47%‎</w:t>
      </w:r>
      <w:r>
        <w:rPr>
          <w:rFonts w:ascii="Arial" w:hAnsi="Arial" w:cs="Arial" w:eastAsia="Arial"/>
          <w:color w:val="0E1E3A"/>
          <w:sz w:val="20"/>
          <w:szCs w:val="20"/>
          <w:rtl/>
        </w:rPr>
        <w:t xml:space="preserve"> مقارنةً بدراسته السابقة التي قدرت حجم فجوة التمويل في العام 2020م عند 1.7 ترليون دولار أمريكي.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وفقًا لمقياس تجارة السلع الصادر مؤخرًا عن منظمة التجارة العالمية في مارس، قد تسجل تجارة البضائع العالمية تحسينات معتدلة خلال الربع الأول من العام 2024م بعد أداء ثابت في العام 2023م.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ويرى UNCTAD أن توقعات التجارة العالمية للعام 2024م ستكون إيجابية على نطاق واسع مع تزايد الطلب على السلع البيئية، وخاصة السيارات الكهربائية، التي من المتوقع أن تلعب دورًا رئيسيًا في دفع نمو التجارة.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اتسعت فجوة تمويل التجارة العالمية إلى 2.5 تريليون دولار أمريكي (وفقًا لمسح بنك التنمية الآسيوي الأخير في سبتمبر 2023م)، مسجلاً زيادة بنسبة 47 ٪ عن المسح السابق الذي قدر فجوة تمويل التجارة للعام 2020م بنحو 1.7 تريليون دولار أمريكي. وتمثل الفجوة الآن نحو </w:t>
      </w:r>
      <w:r>
        <w:rPr>
          <w:rFonts w:ascii="Arial" w:hAnsi="Arial" w:cs="Arial" w:eastAsia="Arial"/>
          <w:color w:val="0E1E3A"/>
          <w:sz w:val="20"/>
          <w:szCs w:val="20"/>
        </w:rPr>
        <w:t>‎10%‎</w:t>
      </w:r>
      <w:r>
        <w:rPr>
          <w:rFonts w:ascii="Arial" w:hAnsi="Arial" w:cs="Arial" w:eastAsia="Arial"/>
          <w:color w:val="0E1E3A"/>
          <w:sz w:val="20"/>
          <w:szCs w:val="20"/>
          <w:rtl/>
        </w:rPr>
        <w:t xml:space="preserve"> من التجارة السلعية العالمية.</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تتوقع وكالة موديز تراجع إصدارات الصكوك العالمية بنسبة </w:t>
      </w:r>
      <w:r>
        <w:rPr>
          <w:rFonts w:ascii="Arial" w:hAnsi="Arial" w:cs="Arial" w:eastAsia="Arial"/>
          <w:color w:val="0E1E3A"/>
          <w:sz w:val="20"/>
          <w:szCs w:val="20"/>
        </w:rPr>
        <w:t>‎10%‎</w:t>
      </w:r>
      <w:r>
        <w:rPr>
          <w:rFonts w:ascii="Arial" w:hAnsi="Arial" w:cs="Arial" w:eastAsia="Arial"/>
          <w:color w:val="0E1E3A"/>
          <w:sz w:val="20"/>
          <w:szCs w:val="20"/>
          <w:rtl/>
        </w:rPr>
        <w:t xml:space="preserve"> في العام 2023م نتيجة انخفاض حجم إصدارات كبار المصدرين السياديين، حيث يؤدي ارتفاع أسعار النفط والنمو الاقتصادي المستدام إلى تعزيز الأرصدة المالية.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أما من حيث الأداء، وبعد أن شهدت أسواق الصكوك العالمية أسوأ سنة لها منذ عشرات السنين في العام 2022م، تعافت سوق الصكوك السنة الماضية. وفي العام 2023م، حقق مؤشر داو جونز للصكوك (بدون إعادة استثمار) مكاسب بلغت </w:t>
      </w:r>
      <w:r>
        <w:rPr>
          <w:rFonts w:ascii="Arial" w:hAnsi="Arial" w:cs="Arial" w:eastAsia="Arial"/>
          <w:color w:val="0E1E3A"/>
          <w:sz w:val="20"/>
          <w:szCs w:val="20"/>
        </w:rPr>
        <w:t>‎5.53%‎</w:t>
      </w:r>
      <w:r>
        <w:rPr>
          <w:rFonts w:ascii="Arial" w:hAnsi="Arial" w:cs="Arial" w:eastAsia="Arial"/>
          <w:color w:val="0E1E3A"/>
          <w:sz w:val="20"/>
          <w:szCs w:val="20"/>
          <w:rtl/>
        </w:rPr>
        <w:t xml:space="preserve">، بينما حقق مؤشر ستاندرد آند بورز للسندات والصكوك الخليجية مكاسب بنسبة </w:t>
      </w:r>
      <w:r>
        <w:rPr>
          <w:rFonts w:ascii="Arial" w:hAnsi="Arial" w:cs="Arial" w:eastAsia="Arial"/>
          <w:color w:val="0E1E3A"/>
          <w:sz w:val="20"/>
          <w:szCs w:val="20"/>
        </w:rPr>
        <w:t>‎5.38%‎</w:t>
      </w:r>
      <w:r>
        <w:rPr>
          <w:rFonts w:ascii="Arial" w:hAnsi="Arial" w:cs="Arial" w:eastAsia="Arial"/>
          <w:color w:val="0E1E3A"/>
          <w:sz w:val="20"/>
          <w:szCs w:val="20"/>
          <w:rtl/>
        </w:rPr>
        <w:t>.</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وتتوقع وكالة "ستاندرد آند بورز جلوبال" أن يتراوح حجم إصدارات الصكوك العالمية بين 160 و 170 مليار دولار أمريكي في العام 2024م، وذلك بسبب ارتفاع احتياجات التمويل في بعض دول التمويل الإسلامي الرئيسية وإمكانية تعزيز ظروف السيولة العالمية.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ومنذ بداية العام وحتى الآن، أظهر مؤشر داو جونز للصكوك الأمريكية (إعادة الاستثمار) أداءً ثابتًا حيث ارتفع بشكل طفيف بنسبة </w:t>
      </w:r>
      <w:r>
        <w:rPr>
          <w:rFonts w:ascii="Arial" w:hAnsi="Arial" w:cs="Arial" w:eastAsia="Arial"/>
          <w:color w:val="0E1E3A"/>
          <w:sz w:val="20"/>
          <w:szCs w:val="20"/>
        </w:rPr>
        <w:t>‎0.03%‎</w:t>
      </w:r>
      <w:r>
        <w:rPr>
          <w:rFonts w:ascii="Arial" w:hAnsi="Arial" w:cs="Arial" w:eastAsia="Arial"/>
          <w:color w:val="0E1E3A"/>
          <w:sz w:val="20"/>
          <w:szCs w:val="20"/>
          <w:rtl/>
        </w:rPr>
        <w:t xml:space="preserve">، في حين انخفض مؤشر ستاندرد آند بورز للسندات والصكوك لدول مجلس التعاون الخليجي بنسبة </w:t>
      </w:r>
      <w:r>
        <w:rPr>
          <w:rFonts w:ascii="Arial" w:hAnsi="Arial" w:cs="Arial" w:eastAsia="Arial"/>
          <w:color w:val="0E1E3A"/>
          <w:sz w:val="20"/>
          <w:szCs w:val="20"/>
        </w:rPr>
        <w:t>‎0.81%‎</w:t>
      </w:r>
      <w:r>
        <w:rPr>
          <w:rFonts w:ascii="Arial" w:hAnsi="Arial" w:cs="Arial" w:eastAsia="Arial"/>
          <w:color w:val="0E1E3A"/>
          <w:sz w:val="20"/>
          <w:szCs w:val="20"/>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بدء الصندوق*</w:t>
      </w:r>
    </w:p>
    <w:p>
      <w:pPr>
        <w:bidi w:val="1"/>
        <w:spacing w:before="0" w:after="80" w:line="240" w:lineRule="auto"/>
        <w:jc w:val="center"/>
      </w:pPr>
      <w:r>
        <w:drawing>
          <wp:inline xmlns:a="http://schemas.openxmlformats.org/drawingml/2006/main" xmlns:pic="http://schemas.openxmlformats.org/drawingml/2006/picture">
            <wp:extent cx="6336000" cy="2825514"/>
            <wp:docPr id="26" name="Picture 9051"/>
            <wp:cNvGraphicFramePr>
              <a:graphicFrameLocks noChangeAspect="1"/>
            </wp:cNvGraphicFramePr>
            <a:graphic>
              <a:graphicData uri="http://schemas.openxmlformats.org/drawingml/2006/picture">
                <pic:pic>
                  <pic:nvPicPr>
                    <pic:cNvPr id="0" name="x6.j.jpg"/>
                    <pic:cNvPicPr/>
                  </pic:nvPicPr>
                  <pic:blipFill>
                    <a:blip r:embed="rId24"/>
                    <a:stretch>
                      <a:fillRect/>
                    </a:stretch>
                  </pic:blipFill>
                  <pic:spPr>
                    <a:xfrm>
                      <a:off x="0" y="0"/>
                      <a:ext cx="6336000" cy="2825514"/>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الأسعار كما في 19 مارس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8" name="Picture 9053"/>
            <wp:cNvGraphicFramePr>
              <a:graphicFrameLocks noChangeAspect="1"/>
            </wp:cNvGraphicFramePr>
            <a:graphic>
              <a:graphicData uri="http://schemas.openxmlformats.org/drawingml/2006/picture">
                <pic:pic>
                  <pic:nvPicPr>
                    <pic:cNvPr id="0" name="ico_31799530e5dd3dc5b4ca7f2d37945432.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الأول 2024م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