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6"/>
            <wp:cNvGraphicFramePr/>
            <a:graphic>
              <a:graphicData uri="http://schemas.openxmlformats.org/drawingml/2006/picture">
                <pic:pic>
                  <pic:nvPicPr>
                    <pic:cNvPr id="9026" name="banner902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9.7832</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492,985,295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28,174,505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5.72%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6.09%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3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are 2.9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492,985,295</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462,565,986</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0.40%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0.50%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COSTS/FEES TO FUND’S AVERAGE NET ASSET VALUE****</w:t>
            </w:r>
          </w:p>
        </w:tc>
        <w:tc>
          <w:tcPr>
            <w:tcW w:type="dxa" w:w="6860"/>
          </w:tcPr>
          <w:p>
            <w:pPr>
              <w:spacing w:before="0" w:after="0" w:line="276" w:lineRule="auto"/>
            </w:pPr>
            <w:r>
              <w:rPr>
                <w:rFonts w:ascii="Arial" w:hAnsi="Arial" w:cs="Arial" w:eastAsia="Arial"/>
                <w:b/>
                <w:bCs/>
                <w:color w:val="0E1E3A"/>
                <w:sz w:val="18"/>
                <w:szCs w:val="18"/>
              </w:rPr>
              <w:t>0.53%</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2,453,180</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2024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465,782,076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INVESTMENTS OF THE FUND</w:t>
      </w:r>
    </w:p>
    <w:p>
      <w:pPr>
        <w:spacing w:before="0" w:after="80" w:line="240" w:lineRule="auto"/>
        <w:jc w:val="center"/>
      </w:pPr>
      <w:r>
        <w:drawing>
          <wp:inline xmlns:a="http://schemas.openxmlformats.org/drawingml/2006/main" xmlns:pic="http://schemas.openxmlformats.org/drawingml/2006/picture">
            <wp:extent cx="6336000" cy="2711351"/>
            <wp:docPr id="10" name="Picture 903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711351"/>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126,277,328</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170,025,179</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31,799,936</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116,492,538</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48,390,313</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3" name="Picture 9038"/>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320,568,367</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(31 MARCH 2024)</w:t>
            </w:r>
          </w:p>
        </w:tc>
        <w:tc>
          <w:tcPr>
            <w:tcW w:type="dxa" w:w="6860"/>
          </w:tcPr>
          <w:p>
            <w:pPr>
              <w:spacing w:before="0" w:after="0" w:line="276" w:lineRule="auto"/>
            </w:pPr>
            <w:r>
              <w:rPr>
                <w:rFonts w:ascii="Arial" w:hAnsi="Arial" w:cs="Arial" w:eastAsia="Arial"/>
                <w:b/>
                <w:bCs/>
                <w:color w:val="0E1E3A"/>
                <w:sz w:val="18"/>
                <w:szCs w:val="18"/>
              </w:rPr>
              <w:t>SAR 6.78</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31 DECEMBER 2023 TO 31 MARCH 2024)*</w:t>
            </w:r>
          </w:p>
        </w:tc>
        <w:tc>
          <w:tcPr>
            <w:tcW w:type="dxa" w:w="6860"/>
          </w:tcPr>
          <w:p>
            <w:pPr>
              <w:spacing w:before="0" w:after="0" w:line="276" w:lineRule="auto"/>
            </w:pPr>
            <w:r>
              <w:rPr>
                <w:rFonts w:ascii="Arial" w:hAnsi="Arial" w:cs="Arial" w:eastAsia="Arial"/>
                <w:b/>
                <w:bCs/>
                <w:color w:val="0E1E3A"/>
                <w:sz w:val="18"/>
                <w:szCs w:val="18"/>
              </w:rPr>
              <w:t>-4.51%</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2024)</w:t>
            </w:r>
          </w:p>
        </w:tc>
        <w:tc>
          <w:tcPr>
            <w:tcW w:type="dxa" w:w="6860"/>
          </w:tcPr>
          <w:p>
            <w:pPr>
              <w:spacing w:before="0" w:after="0" w:line="276" w:lineRule="auto"/>
            </w:pPr>
            <w:r>
              <w:rPr>
                <w:rFonts w:ascii="Arial" w:hAnsi="Arial" w:cs="Arial" w:eastAsia="Arial"/>
                <w:b/>
                <w:bCs/>
                <w:color w:val="0E1E3A"/>
                <w:sz w:val="18"/>
                <w:szCs w:val="18"/>
              </w:rPr>
              <w:t>-32.20%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8.95</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6.37</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31 March 2024 = SAR 7.10.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13,711,626</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13,711,626</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2.90%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4.28%</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9,733,824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(31 MARCH 2024)</w:t>
            </w:r>
          </w:p>
        </w:tc>
        <w:tc>
          <w:tcPr>
            <w:tcW w:type="dxa" w:w="6860"/>
          </w:tcPr>
          <w:p>
            <w:pPr>
              <w:spacing w:before="0" w:after="0" w:line="276" w:lineRule="auto"/>
            </w:pPr>
            <w:r>
              <w:rPr>
                <w:rFonts w:ascii="Arial" w:hAnsi="Arial" w:cs="Arial" w:eastAsia="Arial"/>
                <w:b/>
                <w:bCs/>
                <w:color w:val="0E1E3A"/>
                <w:sz w:val="18"/>
                <w:szCs w:val="18"/>
              </w:rPr>
              <w:t>3.04%</w:t>
            </w:r>
          </w:p>
        </w:tc>
      </w:tr>
    </w:tbl>
    <w:p>
      <w:pPr>
        <w:spacing w:before="0" w:after="40" w:line="300" w:lineRule="auto"/>
      </w:pPr>
    </w:p>
    <w:p>
      <w:pPr>
        <w:spacing w:before="0" w:after="80" w:line="312" w:lineRule="auto"/>
      </w:pPr>
      <w:r>
        <w:rPr>
          <w:rFonts w:ascii="Arial" w:hAnsi="Arial" w:cs="Arial" w:eastAsia="Arial"/>
          <w:color w:val="5A6478"/>
          <w:sz w:val="17"/>
          <w:szCs w:val="17"/>
        </w:rPr>
        <w:t>* From 1 January 2024 to 31 March 2024.</w:t>
      </w:r>
      <w:r>
        <w:br/>
      </w:r>
      <w:r>
        <w:rPr>
          <w:rFonts w:ascii="Arial" w:hAnsi="Arial" w:cs="Arial" w:eastAsia="Arial"/>
          <w:color w:val="5A6478"/>
          <w:sz w:val="17"/>
          <w:szCs w:val="17"/>
        </w:rPr>
        <w:t>** From 1 July 2023 to 31 December 2023 (Distributed Dividends paid on 25 February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-4.51%</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-32.20%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-16.45%</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w:t>
      </w:r>
      <w:r>
        <w:br/>
      </w:r>
      <w:r>
        <w:rPr>
          <w:rFonts w:ascii="Arial" w:hAnsi="Arial" w:cs="Arial" w:eastAsia="Arial"/>
          <w:color w:val="5A6478"/>
          <w:sz w:val="17"/>
          <w:szCs w:val="17"/>
        </w:rPr>
        <w:t>SOFR) 12 months + 300 basis points.</w:t>
      </w:r>
      <w:r>
        <w:br/>
      </w:r>
      <w:r>
        <w:rPr>
          <w:rFonts w:ascii="Arial" w:hAnsi="Arial" w:cs="Arial" w:eastAsia="Arial"/>
          <w:color w:val="5A6478"/>
          <w:sz w:val="17"/>
          <w:szCs w:val="17"/>
        </w:rPr>
        <w:t>** Unit Price as at 31 December 2023 = SAR 7.10.</w:t>
      </w:r>
      <w:r>
        <w:br/>
      </w:r>
      <w:r>
        <w:rPr>
          <w:rFonts w:ascii="Arial" w:hAnsi="Arial" w:cs="Arial" w:eastAsia="Arial"/>
          <w:color w:val="5A6478"/>
          <w:sz w:val="17"/>
          <w:szCs w:val="17"/>
        </w:rPr>
        <w:t>*** From the Fund’s Date of Inception to end Q1 2024.</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9.9193</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9.7832</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-1.37%</w:t>
            </w:r>
          </w:p>
        </w:tc>
        <w:tc>
          <w:tcPr>
            <w:tcW w:type="dxa" w:w="3326"/>
          </w:tcPr>
          <w:p>
            <w:pPr>
              <w:spacing w:before="0" w:after="0" w:line="264" w:lineRule="auto"/>
            </w:pPr>
            <w:r>
              <w:rPr>
                <w:rFonts w:ascii="Arial" w:hAnsi="Arial" w:cs="Arial" w:eastAsia="Arial"/>
                <w:color w:val="0E1E3A"/>
                <w:sz w:val="17"/>
                <w:szCs w:val="17"/>
              </w:rPr>
              <w:t>1.90%****</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w:t>
      </w:r>
      <w:r>
        <w:br/>
      </w:r>
      <w:r>
        <w:rPr>
          <w:rFonts w:ascii="Arial" w:hAnsi="Arial" w:cs="Arial" w:eastAsia="Arial"/>
          <w:color w:val="5A6478"/>
          <w:sz w:val="17"/>
          <w:szCs w:val="17"/>
        </w:rPr>
        <w:t>SOFR) 12 months + 300 basis points</w:t>
      </w:r>
      <w:r>
        <w:br/>
      </w:r>
      <w:r>
        <w:rPr>
          <w:rFonts w:ascii="Arial" w:hAnsi="Arial" w:cs="Arial" w:eastAsia="Arial"/>
          <w:color w:val="5A6478"/>
          <w:sz w:val="17"/>
          <w:szCs w:val="17"/>
        </w:rPr>
        <w:t>** As at 31 December 2023.</w:t>
      </w:r>
      <w:r>
        <w:br/>
      </w:r>
      <w:r>
        <w:rPr>
          <w:rFonts w:ascii="Arial" w:hAnsi="Arial" w:cs="Arial" w:eastAsia="Arial"/>
          <w:color w:val="5A6478"/>
          <w:sz w:val="17"/>
          <w:szCs w:val="17"/>
        </w:rPr>
        <w:t>***As at 31 March 2024.</w:t>
      </w:r>
      <w:r>
        <w:br/>
      </w:r>
      <w:r>
        <w:rPr>
          <w:rFonts w:ascii="Arial" w:hAnsi="Arial" w:cs="Arial" w:eastAsia="Arial"/>
          <w:color w:val="5A6478"/>
          <w:sz w:val="17"/>
          <w:szCs w:val="17"/>
        </w:rPr>
        <w:t>**** Benchmark average return is 7.92% per annum, or a return of 1.90%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1.55%</w:t>
            </w:r>
          </w:p>
        </w:tc>
        <w:tc>
          <w:tcPr>
            <w:tcW w:type="dxa" w:w="1663"/>
          </w:tcPr>
          <w:p>
            <w:pPr>
              <w:spacing w:before="0" w:after="0" w:line="264" w:lineRule="auto"/>
            </w:pPr>
            <w:r>
              <w:rPr>
                <w:rFonts w:ascii="Arial" w:hAnsi="Arial" w:cs="Arial" w:eastAsia="Arial"/>
                <w:color w:val="0E1E3A"/>
                <w:sz w:val="17"/>
                <w:szCs w:val="17"/>
              </w:rPr>
              <w:t>1.55%</w:t>
            </w:r>
          </w:p>
        </w:tc>
        <w:tc>
          <w:tcPr>
            <w:tcW w:type="dxa" w:w="1663"/>
          </w:tcPr>
          <w:p>
            <w:pPr>
              <w:spacing w:before="0" w:after="0" w:line="264" w:lineRule="auto"/>
            </w:pPr>
            <w:r>
              <w:rPr>
                <w:rFonts w:ascii="Arial" w:hAnsi="Arial" w:cs="Arial" w:eastAsia="Arial"/>
                <w:color w:val="0E1E3A"/>
                <w:sz w:val="17"/>
                <w:szCs w:val="17"/>
              </w:rPr>
              <w:t>5.87%</w:t>
            </w:r>
          </w:p>
        </w:tc>
        <w:tc>
          <w:tcPr>
            <w:tcW w:type="dxa" w:w="1663"/>
          </w:tcPr>
          <w:p>
            <w:pPr>
              <w:spacing w:before="0" w:after="0" w:line="264" w:lineRule="auto"/>
            </w:pPr>
            <w:r>
              <w:rPr>
                <w:rFonts w:ascii="Arial" w:hAnsi="Arial" w:cs="Arial" w:eastAsia="Arial"/>
                <w:color w:val="0E1E3A"/>
                <w:sz w:val="17"/>
                <w:szCs w:val="17"/>
              </w:rPr>
              <w:t>14.37%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1.90%</w:t>
            </w:r>
          </w:p>
        </w:tc>
        <w:tc>
          <w:tcPr>
            <w:tcW w:type="dxa" w:w="1663"/>
          </w:tcPr>
          <w:p>
            <w:pPr>
              <w:spacing w:before="0" w:after="0" w:line="264" w:lineRule="auto"/>
            </w:pPr>
            <w:r>
              <w:rPr>
                <w:rFonts w:ascii="Arial" w:hAnsi="Arial" w:cs="Arial" w:eastAsia="Arial"/>
                <w:color w:val="0E1E3A"/>
                <w:sz w:val="17"/>
                <w:szCs w:val="17"/>
              </w:rPr>
              <w:t>1.90%</w:t>
            </w:r>
          </w:p>
        </w:tc>
        <w:tc>
          <w:tcPr>
            <w:tcW w:type="dxa" w:w="1663"/>
          </w:tcPr>
          <w:p>
            <w:pPr>
              <w:spacing w:before="0" w:after="0" w:line="264" w:lineRule="auto"/>
            </w:pPr>
            <w:r>
              <w:rPr>
                <w:rFonts w:ascii="Arial" w:hAnsi="Arial" w:cs="Arial" w:eastAsia="Arial"/>
                <w:color w:val="0E1E3A"/>
                <w:sz w:val="17"/>
                <w:szCs w:val="17"/>
              </w:rPr>
              <w:t>8.10%</w:t>
            </w:r>
          </w:p>
        </w:tc>
        <w:tc>
          <w:tcPr>
            <w:tcW w:type="dxa" w:w="1663"/>
          </w:tcPr>
          <w:p>
            <w:pPr>
              <w:spacing w:before="0" w:after="0" w:line="264" w:lineRule="auto"/>
            </w:pPr>
            <w:r>
              <w:rPr>
                <w:rFonts w:ascii="Arial" w:hAnsi="Arial" w:cs="Arial" w:eastAsia="Arial"/>
                <w:color w:val="0E1E3A"/>
                <w:sz w:val="17"/>
                <w:szCs w:val="17"/>
              </w:rPr>
              <w:t>20.52%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-0.35%</w:t>
            </w:r>
          </w:p>
        </w:tc>
        <w:tc>
          <w:tcPr>
            <w:tcW w:type="dxa" w:w="1663"/>
          </w:tcPr>
          <w:p>
            <w:pPr>
              <w:spacing w:before="0" w:after="0" w:line="264" w:lineRule="auto"/>
            </w:pPr>
            <w:r>
              <w:rPr>
                <w:rFonts w:ascii="Arial" w:hAnsi="Arial" w:cs="Arial" w:eastAsia="Arial"/>
                <w:color w:val="0E1E3A"/>
                <w:sz w:val="17"/>
                <w:szCs w:val="17"/>
              </w:rPr>
              <w:t>-0.35%</w:t>
            </w:r>
          </w:p>
        </w:tc>
        <w:tc>
          <w:tcPr>
            <w:tcW w:type="dxa" w:w="1663"/>
          </w:tcPr>
          <w:p>
            <w:pPr>
              <w:spacing w:before="0" w:after="0" w:line="264" w:lineRule="auto"/>
            </w:pPr>
            <w:r>
              <w:rPr>
                <w:rFonts w:ascii="Arial" w:hAnsi="Arial" w:cs="Arial" w:eastAsia="Arial"/>
                <w:color w:val="0E1E3A"/>
                <w:sz w:val="17"/>
                <w:szCs w:val="17"/>
              </w:rPr>
              <w:t>-2.23%</w:t>
            </w:r>
          </w:p>
        </w:tc>
        <w:tc>
          <w:tcPr>
            <w:tcW w:type="dxa" w:w="1663"/>
          </w:tcPr>
          <w:p>
            <w:pPr>
              <w:spacing w:before="0" w:after="0" w:line="264" w:lineRule="auto"/>
            </w:pPr>
            <w:r>
              <w:rPr>
                <w:rFonts w:ascii="Arial" w:hAnsi="Arial" w:cs="Arial" w:eastAsia="Arial"/>
                <w:color w:val="0E1E3A"/>
                <w:sz w:val="17"/>
                <w:szCs w:val="17"/>
              </w:rPr>
              <w:t>-6.15%</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31 December 2023 to 31 March 2024, including cash distributions of 2.90%.</w:t>
      </w:r>
      <w:r>
        <w:br/>
      </w:r>
      <w:r>
        <w:rPr>
          <w:rFonts w:ascii="Arial" w:hAnsi="Arial" w:cs="Arial" w:eastAsia="Arial"/>
          <w:color w:val="5A6478"/>
          <w:sz w:val="17"/>
          <w:szCs w:val="17"/>
        </w:rPr>
        <w:t>** For the period from 31 December 2023 to 31 March 2024, including cash distributions of 5.70%.</w:t>
      </w:r>
      <w:r>
        <w:br/>
      </w:r>
      <w:r>
        <w:rPr>
          <w:rFonts w:ascii="Arial" w:hAnsi="Arial" w:cs="Arial" w:eastAsia="Arial"/>
          <w:color w:val="5A6478"/>
          <w:sz w:val="17"/>
          <w:szCs w:val="17"/>
        </w:rPr>
        <w:t>*** For the period from 31 March 2023 to 31 March 2024, including cash distributions of 5.70%.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7.99</w:t>
            </w:r>
          </w:p>
        </w:tc>
        <w:tc>
          <w:tcPr>
            <w:tcW w:type="dxa" w:w="1663"/>
          </w:tcPr>
          <w:p>
            <w:pPr>
              <w:spacing w:before="0" w:after="0" w:line="264" w:lineRule="auto"/>
            </w:pPr>
            <w:r>
              <w:rPr>
                <w:rFonts w:ascii="Arial" w:hAnsi="Arial" w:cs="Arial" w:eastAsia="Arial"/>
                <w:color w:val="0E1E3A"/>
                <w:sz w:val="17"/>
                <w:szCs w:val="17"/>
              </w:rPr>
              <w:t>7.99</w:t>
            </w:r>
          </w:p>
        </w:tc>
        <w:tc>
          <w:tcPr>
            <w:tcW w:type="dxa" w:w="1663"/>
          </w:tcPr>
          <w:p>
            <w:pPr>
              <w:spacing w:before="0" w:after="0" w:line="264" w:lineRule="auto"/>
            </w:pPr>
            <w:r>
              <w:rPr>
                <w:rFonts w:ascii="Arial" w:hAnsi="Arial" w:cs="Arial" w:eastAsia="Arial"/>
                <w:color w:val="0E1E3A"/>
                <w:sz w:val="17"/>
                <w:szCs w:val="17"/>
              </w:rPr>
              <w:t>11.05</w:t>
            </w:r>
          </w:p>
        </w:tc>
        <w:tc>
          <w:tcPr>
            <w:tcW w:type="dxa" w:w="1663"/>
          </w:tcPr>
          <w:p>
            <w:pPr>
              <w:spacing w:before="0" w:after="0" w:line="264" w:lineRule="auto"/>
            </w:pPr>
            <w:r>
              <w:rPr>
                <w:rFonts w:ascii="Arial" w:hAnsi="Arial" w:cs="Arial" w:eastAsia="Arial"/>
                <w:color w:val="0E1E3A"/>
                <w:sz w:val="17"/>
                <w:szCs w:val="17"/>
              </w:rPr>
              <w:t>13.71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0.46</w:t>
            </w:r>
          </w:p>
        </w:tc>
        <w:tc>
          <w:tcPr>
            <w:tcW w:type="dxa" w:w="1663"/>
          </w:tcPr>
          <w:p>
            <w:pPr>
              <w:spacing w:before="0" w:after="0" w:line="264" w:lineRule="auto"/>
            </w:pPr>
            <w:r>
              <w:rPr>
                <w:rFonts w:ascii="Arial" w:hAnsi="Arial" w:cs="Arial" w:eastAsia="Arial"/>
                <w:color w:val="0E1E3A"/>
                <w:sz w:val="17"/>
                <w:szCs w:val="17"/>
              </w:rPr>
              <w:t>0.46</w:t>
            </w:r>
          </w:p>
        </w:tc>
        <w:tc>
          <w:tcPr>
            <w:tcW w:type="dxa" w:w="1663"/>
          </w:tcPr>
          <w:p>
            <w:pPr>
              <w:spacing w:before="0" w:after="0" w:line="264" w:lineRule="auto"/>
            </w:pPr>
            <w:r>
              <w:rPr>
                <w:rFonts w:ascii="Arial" w:hAnsi="Arial" w:cs="Arial" w:eastAsia="Arial"/>
                <w:color w:val="0E1E3A"/>
                <w:sz w:val="17"/>
                <w:szCs w:val="17"/>
              </w:rPr>
              <w:t>1.15</w:t>
            </w:r>
          </w:p>
        </w:tc>
        <w:tc>
          <w:tcPr>
            <w:tcW w:type="dxa" w:w="1663"/>
          </w:tcPr>
          <w:p>
            <w:pPr>
              <w:spacing w:before="0" w:after="0" w:line="264" w:lineRule="auto"/>
            </w:pPr>
            <w:r>
              <w:rPr>
                <w:rFonts w:ascii="Arial" w:hAnsi="Arial" w:cs="Arial" w:eastAsia="Arial"/>
                <w:color w:val="0E1E3A"/>
                <w:sz w:val="17"/>
                <w:szCs w:val="17"/>
              </w:rPr>
              <w:t>-0.44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8.01</w:t>
            </w:r>
          </w:p>
        </w:tc>
        <w:tc>
          <w:tcPr>
            <w:tcW w:type="dxa" w:w="1663"/>
          </w:tcPr>
          <w:p>
            <w:pPr>
              <w:spacing w:before="0" w:after="0" w:line="264" w:lineRule="auto"/>
            </w:pPr>
            <w:r>
              <w:rPr>
                <w:rFonts w:ascii="Arial" w:hAnsi="Arial" w:cs="Arial" w:eastAsia="Arial"/>
                <w:color w:val="0E1E3A"/>
                <w:sz w:val="17"/>
                <w:szCs w:val="17"/>
              </w:rPr>
              <w:t>8.01</w:t>
            </w:r>
          </w:p>
        </w:tc>
        <w:tc>
          <w:tcPr>
            <w:tcW w:type="dxa" w:w="1663"/>
          </w:tcPr>
          <w:p>
            <w:pPr>
              <w:spacing w:before="0" w:after="0" w:line="264" w:lineRule="auto"/>
            </w:pPr>
            <w:r>
              <w:rPr>
                <w:rFonts w:ascii="Arial" w:hAnsi="Arial" w:cs="Arial" w:eastAsia="Arial"/>
                <w:color w:val="0E1E3A"/>
                <w:sz w:val="17"/>
                <w:szCs w:val="17"/>
              </w:rPr>
              <w:t>11.20</w:t>
            </w:r>
          </w:p>
        </w:tc>
        <w:tc>
          <w:tcPr>
            <w:tcW w:type="dxa" w:w="1663"/>
          </w:tcPr>
          <w:p>
            <w:pPr>
              <w:spacing w:before="0" w:after="0" w:line="264" w:lineRule="auto"/>
            </w:pPr>
            <w:r>
              <w:rPr>
                <w:rFonts w:ascii="Arial" w:hAnsi="Arial" w:cs="Arial" w:eastAsia="Arial"/>
                <w:color w:val="0E1E3A"/>
                <w:sz w:val="17"/>
                <w:szCs w:val="17"/>
              </w:rPr>
              <w:t>13.76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-0.13</w:t>
            </w:r>
          </w:p>
        </w:tc>
        <w:tc>
          <w:tcPr>
            <w:tcW w:type="dxa" w:w="1663"/>
          </w:tcPr>
          <w:p>
            <w:pPr>
              <w:spacing w:before="0" w:after="0" w:line="264" w:lineRule="auto"/>
            </w:pPr>
            <w:r>
              <w:rPr>
                <w:rFonts w:ascii="Arial" w:hAnsi="Arial" w:cs="Arial" w:eastAsia="Arial"/>
                <w:color w:val="0E1E3A"/>
                <w:sz w:val="17"/>
                <w:szCs w:val="17"/>
              </w:rPr>
              <w:t>-0.13</w:t>
            </w:r>
          </w:p>
        </w:tc>
        <w:tc>
          <w:tcPr>
            <w:tcW w:type="dxa" w:w="1663"/>
          </w:tcPr>
          <w:p>
            <w:pPr>
              <w:spacing w:before="0" w:after="0" w:line="264" w:lineRule="auto"/>
            </w:pPr>
            <w:r>
              <w:rPr>
                <w:rFonts w:ascii="Arial" w:hAnsi="Arial" w:cs="Arial" w:eastAsia="Arial"/>
                <w:color w:val="0E1E3A"/>
                <w:sz w:val="17"/>
                <w:szCs w:val="17"/>
              </w:rPr>
              <w:t>-1.98</w:t>
            </w:r>
          </w:p>
        </w:tc>
        <w:tc>
          <w:tcPr>
            <w:tcW w:type="dxa" w:w="1663"/>
          </w:tcPr>
          <w:p>
            <w:pPr>
              <w:spacing w:before="0" w:after="0" w:line="264" w:lineRule="auto"/>
            </w:pPr>
            <w:r>
              <w:rPr>
                <w:rFonts w:ascii="Arial" w:hAnsi="Arial" w:cs="Arial" w:eastAsia="Arial"/>
                <w:color w:val="0E1E3A"/>
                <w:sz w:val="17"/>
                <w:szCs w:val="17"/>
              </w:rPr>
              <w:t>-1.75</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0.68</w:t>
            </w:r>
          </w:p>
        </w:tc>
        <w:tc>
          <w:tcPr>
            <w:tcW w:type="dxa" w:w="1663"/>
          </w:tcPr>
          <w:p>
            <w:pPr>
              <w:spacing w:before="0" w:after="0" w:line="264" w:lineRule="auto"/>
            </w:pPr>
            <w:r>
              <w:rPr>
                <w:rFonts w:ascii="Arial" w:hAnsi="Arial" w:cs="Arial" w:eastAsia="Arial"/>
                <w:color w:val="0E1E3A"/>
                <w:sz w:val="17"/>
                <w:szCs w:val="17"/>
              </w:rPr>
              <w:t>0.68</w:t>
            </w:r>
          </w:p>
        </w:tc>
        <w:tc>
          <w:tcPr>
            <w:tcW w:type="dxa" w:w="1663"/>
          </w:tcPr>
          <w:p>
            <w:pPr>
              <w:spacing w:before="0" w:after="0" w:line="264" w:lineRule="auto"/>
            </w:pPr>
            <w:r>
              <w:rPr>
                <w:rFonts w:ascii="Arial" w:hAnsi="Arial" w:cs="Arial" w:eastAsia="Arial"/>
                <w:color w:val="0E1E3A"/>
                <w:sz w:val="17"/>
                <w:szCs w:val="17"/>
              </w:rPr>
              <w:t>8.59</w:t>
            </w:r>
          </w:p>
        </w:tc>
        <w:tc>
          <w:tcPr>
            <w:tcW w:type="dxa" w:w="1663"/>
          </w:tcPr>
          <w:p>
            <w:pPr>
              <w:spacing w:before="0" w:after="0" w:line="264" w:lineRule="auto"/>
            </w:pPr>
            <w:r>
              <w:rPr>
                <w:rFonts w:ascii="Arial" w:hAnsi="Arial" w:cs="Arial" w:eastAsia="Arial"/>
                <w:color w:val="0E1E3A"/>
                <w:sz w:val="17"/>
                <w:szCs w:val="17"/>
              </w:rPr>
              <w:t>-8.69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0.09</w:t>
            </w:r>
          </w:p>
        </w:tc>
        <w:tc>
          <w:tcPr>
            <w:tcW w:type="dxa" w:w="1663"/>
          </w:tcPr>
          <w:p>
            <w:pPr>
              <w:spacing w:before="0" w:after="0" w:line="264" w:lineRule="auto"/>
            </w:pPr>
            <w:r>
              <w:rPr>
                <w:rFonts w:ascii="Arial" w:hAnsi="Arial" w:cs="Arial" w:eastAsia="Arial"/>
                <w:color w:val="0E1E3A"/>
                <w:sz w:val="17"/>
                <w:szCs w:val="17"/>
              </w:rPr>
              <w:t>0.09</w:t>
            </w:r>
          </w:p>
        </w:tc>
        <w:tc>
          <w:tcPr>
            <w:tcW w:type="dxa" w:w="1663"/>
          </w:tcPr>
          <w:p>
            <w:pPr>
              <w:spacing w:before="0" w:after="0" w:line="264" w:lineRule="auto"/>
            </w:pPr>
            <w:r>
              <w:rPr>
                <w:rFonts w:ascii="Arial" w:hAnsi="Arial" w:cs="Arial" w:eastAsia="Arial"/>
                <w:color w:val="0E1E3A"/>
                <w:sz w:val="17"/>
                <w:szCs w:val="17"/>
              </w:rPr>
              <w:t>0.77</w:t>
            </w:r>
          </w:p>
        </w:tc>
        <w:tc>
          <w:tcPr>
            <w:tcW w:type="dxa" w:w="1663"/>
          </w:tcPr>
          <w:p>
            <w:pPr>
              <w:spacing w:before="0" w:after="0" w:line="264" w:lineRule="auto"/>
            </w:pPr>
            <w:r>
              <w:rPr>
                <w:rFonts w:ascii="Arial" w:hAnsi="Arial" w:cs="Arial" w:eastAsia="Arial"/>
                <w:color w:val="0E1E3A"/>
                <w:sz w:val="17"/>
                <w:szCs w:val="17"/>
              </w:rPr>
              <w:t>-0.63</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31 December 2023 to 31 March 2024</w:t>
      </w:r>
      <w:r>
        <w:br/>
      </w:r>
      <w:r>
        <w:rPr>
          <w:rFonts w:ascii="Arial" w:hAnsi="Arial" w:cs="Arial" w:eastAsia="Arial"/>
          <w:color w:val="5A6478"/>
          <w:sz w:val="17"/>
          <w:szCs w:val="17"/>
        </w:rPr>
        <w:t>2. For the period from 31 December 2023 to 31 March 2024</w:t>
      </w:r>
      <w:r>
        <w:br/>
      </w:r>
      <w:r>
        <w:rPr>
          <w:rFonts w:ascii="Arial" w:hAnsi="Arial" w:cs="Arial" w:eastAsia="Arial"/>
          <w:color w:val="5A6478"/>
          <w:sz w:val="17"/>
          <w:szCs w:val="17"/>
        </w:rPr>
        <w:t>3. For the period from 31 March 2023 to 31 March 2024.</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w:t>
      </w:r>
      <w:r>
        <w:br/>
      </w:r>
      <w:r>
        <w:rPr>
          <w:rFonts w:ascii="Arial" w:hAnsi="Arial" w:cs="Arial" w:eastAsia="Arial"/>
          <w:color w:val="5A6478"/>
          <w:sz w:val="17"/>
          <w:szCs w:val="17"/>
        </w:rPr>
        <w:t>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4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its December 2023 meeting, the US Fed maintained its key interest rate continuing with its campaign to control inflation. Despite the higher interest rate environment, many US businesses continue to invest in productive assets, suggesting healthy demand for equipment leasing finance.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their overall new business volume for November 2023 was USD 8.3 billion, unchanged compared to same month prior year, but down 19% MoM from USD 10.4 billion in October. Cumulative new business volume was up.</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During its March meeting, the US FED maintained its key interest rate flat at 5.25% to 5.50%. However, it pointed to plans to reduce interest rates in 2024. The Equipment Leasing and Finance Association’s (ELFA) projects gradual decreases in the Fed rates in 2024 and beyond commensurate with credit demand and availability.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that their overall new business volume for February 2024 was USD 7.9 billion, representing an annualized increase of 4.4%. Year-to-date, cumulative new business volume was up (USD 7.9 trillion) by 4.9% compared to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increase in the MLFI-25 Index refers to a qualitative assessment of the prevailing business conditions and the future outlook of the equipment leasing sector for the third consecutive month, rising from 51.7 in February to 55.2 in March.</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per the United Nations Conference on Trade and Development (UNCTAD) recent update, global trade in 2023 is expected to drop of 4.5% compared to the 2022 record high.</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Even though UNCTAD projects value of traded goods to decrease in 2023, the trend in the volume of international trade still suggests a resilient global demand for imported products.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has widened to USD 2.5 trillion (per recent ADB survey of September 2023), registering a 47% increase from its previous survey which had estimated the 2020 trade finance gap at USD 1.7 trillion.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merchandise trade index recently published in March by the World Trade Organization (WTO), world merchandise trade volume may record moderate improvements in Q1 2024, following its solid performance in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UNCTAD projects world trade forecasts for 2024 will be widely positive with increased demand on eco-friendly goods, and in particular electric cars, which are expected to play a major role in boosting the growth of trade.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has widened to USD 2.5 trillion (per recent ADB survey of September 2023), registering a 47% increase from its previous survey which had estimated the 2020 trade finance gap at USD 1.7 trillion. The gap currently represents 10% of the global merchandise trade.</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Moody’s expects global Sukuk issuance to decline by 10% in 2023, due to lower volumes from major sovereign issuers as robust oil prices and sustained economic growth strengthen the fiscal balances.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further to the worst year in decades in global Sukuk markets in 2022, the Sukuk market has recovered last year. In 2023, the US Dow Jones Sukuk Index (ex-reinvestment) gained 5.53% while S&amp;P GCC Bond and Sukuk Index was up 5. 38%.</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Standard &amp; Poor’s Global expects the volume of global sukuk issuance to range between USD 160 billion and USD 170 billon in 2024, given the increased financing needs of certain major Islamic finance countries and the potential for increased global liquidity.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Year-to-date, The Dow Jones US Sukuk Index (ex-Reinvestment) performance was stable with a slight increase of 0.03%, with Standard &amp; Poor’s GCC Bond and Sukuk Index declined by 0.81%.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6" name="Picture 9051"/>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8"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Q1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