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8"/>
            <wp:cNvGraphicFramePr/>
            <a:graphic>
              <a:graphicData uri="http://schemas.openxmlformats.org/drawingml/2006/picture">
                <pic:pic>
                  <pic:nvPicPr>
                    <pic:cNvPr id="9028" name="banner9028.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29"/>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للدخل المتنوع المتداول"(الصندوق) هو صندوق استثمار متداول، مغلق، متوافق مع ضوابط الهيئة الشرعية، وتم إنشاؤه بموجب الأنظمة واللوائح المعمول بها في المملكة العربية السعودية، ويخضع لرقابة وإشراف هيئة السوق المالية. ويتمثل الهدف الاستثماري للصندوق في تحقيق دخل دوري للمستثمرين من خلال الاستثمار في أصول مدرة للدخل، متوافقة مع ضوابط الهيئة الشرعية؛ لتحقيق دخل دوري للصندوق. وينوي مدير الصندوق "الخبير المالية" الاستثمار في الصكوك، وصفقات التمويل التجاري، وصفقات الإجارة،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3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AKDICIF: AB</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19 يناير 2021م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9.5605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481,444,971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 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التمويل *</w:t>
            </w:r>
          </w:p>
        </w:tc>
        <w:tc>
          <w:tcPr>
            <w:tcW w:type="dxa" w:w="6860"/>
          </w:tcPr>
          <w:p>
            <w:pPr>
              <w:bidi w:val="1"/>
              <w:spacing w:before="0" w:after="0" w:line="276" w:lineRule="auto"/>
            </w:pPr>
            <w:r>
              <w:rPr>
                <w:rFonts w:ascii="Arial" w:hAnsi="Arial" w:cs="Arial" w:eastAsia="Arial"/>
                <w:b/>
                <w:bCs/>
                <w:color w:val="0E1E3A"/>
                <w:sz w:val="18"/>
                <w:szCs w:val="18"/>
                <w:rtl/>
              </w:rPr>
              <w:t>26,828,616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‎5.587%‎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‎5.94%‎</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tl/>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w:t>
            </w:r>
            <w:r>
              <w:rPr>
                <w:rFonts w:ascii="Arial" w:hAnsi="Arial" w:cs="Arial" w:eastAsia="Arial"/>
                <w:b/>
                <w:bCs/>
                <w:color w:val="0E1E3A"/>
                <w:sz w:val="18"/>
                <w:szCs w:val="18"/>
                <w:rtl/>
              </w:rPr>
              <w:t>. 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‎0.33%‎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90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مارس 2025م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الاستثمارات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32"/>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متوسط مدة استثمارات الصندوق 2.6 سنوات.</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ربع سنوي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481,444,971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وحدات الصندوق *</w:t>
            </w:r>
          </w:p>
        </w:tc>
        <w:tc>
          <w:tcPr>
            <w:tcW w:type="dxa" w:w="6860"/>
          </w:tcPr>
          <w:p>
            <w:pPr>
              <w:bidi w:val="1"/>
              <w:spacing w:before="0" w:after="0" w:line="276" w:lineRule="auto"/>
            </w:pPr>
            <w:r>
              <w:rPr>
                <w:rFonts w:ascii="Arial" w:hAnsi="Arial" w:cs="Arial" w:eastAsia="Arial"/>
                <w:b/>
                <w:bCs/>
                <w:color w:val="0E1E3A"/>
                <w:sz w:val="18"/>
                <w:szCs w:val="18"/>
                <w:rtl/>
              </w:rPr>
              <w:t>452,033,044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مصروفات الصفقات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مصروفات وأتعاب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‎0.40%‎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إجمالي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‎0.48%‎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إجمالي تكاليف / أتعاب الصندوق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‎0.51%‎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تكاليف الصندوق للربع المعني</w:t>
            </w:r>
          </w:p>
        </w:tc>
        <w:tc>
          <w:tcPr>
            <w:tcW w:type="dxa" w:w="6860"/>
          </w:tcPr>
          <w:p>
            <w:pPr>
              <w:bidi w:val="1"/>
              <w:spacing w:before="0" w:after="0" w:line="276" w:lineRule="auto"/>
            </w:pPr>
            <w:r>
              <w:rPr>
                <w:rFonts w:ascii="Arial" w:hAnsi="Arial" w:cs="Arial" w:eastAsia="Arial"/>
                <w:b/>
                <w:bCs/>
                <w:color w:val="0E1E3A"/>
                <w:sz w:val="18"/>
                <w:szCs w:val="18"/>
                <w:rtl/>
              </w:rPr>
              <w:t>2,300,660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مارس 2025م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إجمالي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قيمة أصول الصندوق للفترة المعنية = 453,203,166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8" name="Picture 9035"/>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10 استثمارات بالصندوق</w:t>
      </w:r>
    </w:p>
    <w:p>
      <w:pPr>
        <w:bidi w:val="1"/>
        <w:spacing w:before="0" w:after="80" w:line="240" w:lineRule="auto"/>
        <w:jc w:val="center"/>
      </w:pPr>
      <w:r>
        <w:drawing>
          <wp:inline xmlns:a="http://schemas.openxmlformats.org/drawingml/2006/main" xmlns:pic="http://schemas.openxmlformats.org/drawingml/2006/picture">
            <wp:extent cx="6336000" cy="2911135"/>
            <wp:docPr id="10" name="Picture 9037"/>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911135"/>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التمويل التجاري</w:t>
            </w:r>
          </w:p>
        </w:tc>
        <w:tc>
          <w:tcPr>
            <w:tcW w:type="dxa" w:w="6860"/>
          </w:tcPr>
          <w:p>
            <w:pPr>
              <w:bidi w:val="1"/>
              <w:spacing w:before="0" w:after="0" w:line="276" w:lineRule="auto"/>
            </w:pPr>
            <w:r>
              <w:rPr>
                <w:rFonts w:ascii="Arial" w:hAnsi="Arial" w:cs="Arial" w:eastAsia="Arial"/>
                <w:b/>
                <w:bCs/>
                <w:color w:val="0E1E3A"/>
                <w:sz w:val="18"/>
                <w:szCs w:val="18"/>
                <w:rtl/>
              </w:rPr>
              <w:t>142,944,818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الإجارة</w:t>
            </w:r>
          </w:p>
        </w:tc>
        <w:tc>
          <w:tcPr>
            <w:tcW w:type="dxa" w:w="6860"/>
          </w:tcPr>
          <w:p>
            <w:pPr>
              <w:bidi w:val="1"/>
              <w:spacing w:before="0" w:after="0" w:line="276" w:lineRule="auto"/>
            </w:pPr>
            <w:r>
              <w:rPr>
                <w:rFonts w:ascii="Arial" w:hAnsi="Arial" w:cs="Arial" w:eastAsia="Arial"/>
                <w:b/>
                <w:bCs/>
                <w:color w:val="0E1E3A"/>
                <w:sz w:val="18"/>
                <w:szCs w:val="18"/>
                <w:rtl/>
              </w:rPr>
              <w:t>172,152,213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الصكوك</w:t>
            </w:r>
          </w:p>
        </w:tc>
        <w:tc>
          <w:tcPr>
            <w:tcW w:type="dxa" w:w="6860"/>
          </w:tcPr>
          <w:p>
            <w:pPr>
              <w:bidi w:val="1"/>
              <w:spacing w:before="0" w:after="0" w:line="276" w:lineRule="auto"/>
            </w:pPr>
            <w:r>
              <w:rPr>
                <w:rFonts w:ascii="Arial" w:hAnsi="Arial" w:cs="Arial" w:eastAsia="Arial"/>
                <w:b/>
                <w:bCs/>
                <w:color w:val="0E1E3A"/>
                <w:sz w:val="18"/>
                <w:szCs w:val="18"/>
                <w:rtl/>
              </w:rPr>
              <w:t>31,386,813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صناديق الدخل</w:t>
            </w:r>
          </w:p>
        </w:tc>
        <w:tc>
          <w:tcPr>
            <w:tcW w:type="dxa" w:w="6860"/>
          </w:tcPr>
          <w:p>
            <w:pPr>
              <w:bidi w:val="1"/>
              <w:spacing w:before="0" w:after="0" w:line="276" w:lineRule="auto"/>
            </w:pPr>
            <w:r>
              <w:rPr>
                <w:rFonts w:ascii="Arial" w:hAnsi="Arial" w:cs="Arial" w:eastAsia="Arial"/>
                <w:b/>
                <w:bCs/>
                <w:color w:val="0E1E3A"/>
                <w:sz w:val="18"/>
                <w:szCs w:val="18"/>
                <w:rtl/>
              </w:rPr>
              <w:t>110,234,803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24,726,323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2"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91892"/>
            <wp:docPr id="13" name="Picture 9040"/>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3091892"/>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2021م</w:t>
            </w:r>
          </w:p>
        </w:tc>
        <w:tc>
          <w:tcPr>
            <w:tcW w:type="dxa" w:w="6860"/>
          </w:tcPr>
          <w:p>
            <w:pPr>
              <w:bidi w:val="1"/>
              <w:spacing w:before="0" w:after="0" w:line="276" w:lineRule="auto"/>
            </w:pPr>
            <w:r>
              <w:rPr>
                <w:rFonts w:ascii="Arial" w:hAnsi="Arial" w:cs="Arial" w:eastAsia="Arial"/>
                <w:b/>
                <w:bCs/>
                <w:color w:val="0E1E3A"/>
                <w:sz w:val="18"/>
                <w:szCs w:val="18"/>
                <w:rtl/>
              </w:rPr>
              <w:t>428,370,118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2021م</w:t>
            </w:r>
          </w:p>
        </w:tc>
        <w:tc>
          <w:tcPr>
            <w:tcW w:type="dxa" w:w="6860"/>
          </w:tcPr>
          <w:p>
            <w:pPr>
              <w:bidi w:val="1"/>
              <w:spacing w:before="0" w:after="0" w:line="276" w:lineRule="auto"/>
            </w:pPr>
            <w:r>
              <w:rPr>
                <w:rFonts w:ascii="Arial" w:hAnsi="Arial" w:cs="Arial" w:eastAsia="Arial"/>
                <w:b/>
                <w:bCs/>
                <w:color w:val="0E1E3A"/>
                <w:sz w:val="18"/>
                <w:szCs w:val="18"/>
                <w:rtl/>
              </w:rPr>
              <w:t>433,098,265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2021م</w:t>
            </w:r>
          </w:p>
        </w:tc>
        <w:tc>
          <w:tcPr>
            <w:tcW w:type="dxa" w:w="6860"/>
          </w:tcPr>
          <w:p>
            <w:pPr>
              <w:bidi w:val="1"/>
              <w:spacing w:before="0" w:after="0" w:line="276" w:lineRule="auto"/>
            </w:pPr>
            <w:r>
              <w:rPr>
                <w:rFonts w:ascii="Arial" w:hAnsi="Arial" w:cs="Arial" w:eastAsia="Arial"/>
                <w:b/>
                <w:bCs/>
                <w:color w:val="0E1E3A"/>
                <w:sz w:val="18"/>
                <w:szCs w:val="18"/>
                <w:rtl/>
              </w:rPr>
              <w:t>427,897,304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2021م</w:t>
            </w:r>
          </w:p>
        </w:tc>
        <w:tc>
          <w:tcPr>
            <w:tcW w:type="dxa" w:w="6860"/>
          </w:tcPr>
          <w:p>
            <w:pPr>
              <w:bidi w:val="1"/>
              <w:spacing w:before="0" w:after="0" w:line="276" w:lineRule="auto"/>
            </w:pPr>
            <w:r>
              <w:rPr>
                <w:rFonts w:ascii="Arial" w:hAnsi="Arial" w:cs="Arial" w:eastAsia="Arial"/>
                <w:b/>
                <w:bCs/>
                <w:color w:val="0E1E3A"/>
                <w:sz w:val="18"/>
                <w:szCs w:val="18"/>
                <w:rtl/>
              </w:rPr>
              <w:t>409,930,345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2022م</w:t>
            </w:r>
          </w:p>
        </w:tc>
        <w:tc>
          <w:tcPr>
            <w:tcW w:type="dxa" w:w="6860"/>
          </w:tcPr>
          <w:p>
            <w:pPr>
              <w:bidi w:val="1"/>
              <w:spacing w:before="0" w:after="0" w:line="276" w:lineRule="auto"/>
            </w:pPr>
            <w:r>
              <w:rPr>
                <w:rFonts w:ascii="Arial" w:hAnsi="Arial" w:cs="Arial" w:eastAsia="Arial"/>
                <w:b/>
                <w:bCs/>
                <w:color w:val="0E1E3A"/>
                <w:sz w:val="18"/>
                <w:szCs w:val="18"/>
                <w:rtl/>
              </w:rPr>
              <w:t>402,838,124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2022م</w:t>
            </w:r>
          </w:p>
        </w:tc>
        <w:tc>
          <w:tcPr>
            <w:tcW w:type="dxa" w:w="6860"/>
          </w:tcPr>
          <w:p>
            <w:pPr>
              <w:bidi w:val="1"/>
              <w:spacing w:before="0" w:after="0" w:line="276" w:lineRule="auto"/>
            </w:pPr>
            <w:r>
              <w:rPr>
                <w:rFonts w:ascii="Arial" w:hAnsi="Arial" w:cs="Arial" w:eastAsia="Arial"/>
                <w:b/>
                <w:bCs/>
                <w:color w:val="0E1E3A"/>
                <w:sz w:val="18"/>
                <w:szCs w:val="18"/>
                <w:rtl/>
              </w:rPr>
              <w:t>342,317,843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2022م</w:t>
            </w:r>
          </w:p>
        </w:tc>
        <w:tc>
          <w:tcPr>
            <w:tcW w:type="dxa" w:w="6860"/>
          </w:tcPr>
          <w:p>
            <w:pPr>
              <w:bidi w:val="1"/>
              <w:spacing w:before="0" w:after="0" w:line="276" w:lineRule="auto"/>
            </w:pPr>
            <w:r>
              <w:rPr>
                <w:rFonts w:ascii="Arial" w:hAnsi="Arial" w:cs="Arial" w:eastAsia="Arial"/>
                <w:b/>
                <w:bCs/>
                <w:color w:val="0E1E3A"/>
                <w:sz w:val="18"/>
                <w:szCs w:val="18"/>
                <w:rtl/>
              </w:rPr>
              <w:t>339,480,955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2022م</w:t>
            </w:r>
          </w:p>
        </w:tc>
        <w:tc>
          <w:tcPr>
            <w:tcW w:type="dxa" w:w="6860"/>
          </w:tcPr>
          <w:p>
            <w:pPr>
              <w:bidi w:val="1"/>
              <w:spacing w:before="0" w:after="0" w:line="276" w:lineRule="auto"/>
            </w:pPr>
            <w:r>
              <w:rPr>
                <w:rFonts w:ascii="Arial" w:hAnsi="Arial" w:cs="Arial" w:eastAsia="Arial"/>
                <w:b/>
                <w:bCs/>
                <w:color w:val="0E1E3A"/>
                <w:sz w:val="18"/>
                <w:szCs w:val="18"/>
                <w:rtl/>
              </w:rPr>
              <w:t>281,324,747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2023م</w:t>
            </w:r>
          </w:p>
        </w:tc>
        <w:tc>
          <w:tcPr>
            <w:tcW w:type="dxa" w:w="6860"/>
          </w:tcPr>
          <w:p>
            <w:pPr>
              <w:bidi w:val="1"/>
              <w:spacing w:before="0" w:after="0" w:line="276" w:lineRule="auto"/>
            </w:pPr>
            <w:r>
              <w:rPr>
                <w:rFonts w:ascii="Arial" w:hAnsi="Arial" w:cs="Arial" w:eastAsia="Arial"/>
                <w:b/>
                <w:bCs/>
                <w:color w:val="0E1E3A"/>
                <w:sz w:val="18"/>
                <w:szCs w:val="18"/>
                <w:rtl/>
              </w:rPr>
              <w:t>297,873,261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يونيو 2023م</w:t>
            </w:r>
          </w:p>
        </w:tc>
        <w:tc>
          <w:tcPr>
            <w:tcW w:type="dxa" w:w="6860"/>
          </w:tcPr>
          <w:p>
            <w:pPr>
              <w:bidi w:val="1"/>
              <w:spacing w:before="0" w:after="0" w:line="276" w:lineRule="auto"/>
            </w:pPr>
            <w:r>
              <w:rPr>
                <w:rFonts w:ascii="Arial" w:hAnsi="Arial" w:cs="Arial" w:eastAsia="Arial"/>
                <w:b/>
                <w:bCs/>
                <w:color w:val="0E1E3A"/>
                <w:sz w:val="18"/>
                <w:szCs w:val="18"/>
                <w:rtl/>
              </w:rPr>
              <w:t>329,079,031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سبتمبر 2023م</w:t>
            </w:r>
          </w:p>
        </w:tc>
        <w:tc>
          <w:tcPr>
            <w:tcW w:type="dxa" w:w="6860"/>
          </w:tcPr>
          <w:p>
            <w:pPr>
              <w:bidi w:val="1"/>
              <w:spacing w:before="0" w:after="0" w:line="276" w:lineRule="auto"/>
            </w:pPr>
            <w:r>
              <w:rPr>
                <w:rFonts w:ascii="Arial" w:hAnsi="Arial" w:cs="Arial" w:eastAsia="Arial"/>
                <w:b/>
                <w:bCs/>
                <w:color w:val="0E1E3A"/>
                <w:sz w:val="18"/>
                <w:szCs w:val="18"/>
                <w:rtl/>
              </w:rPr>
              <w:t>329,551,846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2023م</w:t>
            </w:r>
          </w:p>
        </w:tc>
        <w:tc>
          <w:tcPr>
            <w:tcW w:type="dxa" w:w="6860"/>
          </w:tcPr>
          <w:p>
            <w:pPr>
              <w:bidi w:val="1"/>
              <w:spacing w:before="0" w:after="0" w:line="276" w:lineRule="auto"/>
            </w:pPr>
            <w:r>
              <w:rPr>
                <w:rFonts w:ascii="Arial" w:hAnsi="Arial" w:cs="Arial" w:eastAsia="Arial"/>
                <w:b/>
                <w:bCs/>
                <w:color w:val="0E1E3A"/>
                <w:sz w:val="18"/>
                <w:szCs w:val="18"/>
                <w:rtl/>
              </w:rPr>
              <w:t>335,698,437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2024م</w:t>
            </w:r>
          </w:p>
        </w:tc>
        <w:tc>
          <w:tcPr>
            <w:tcW w:type="dxa" w:w="6860"/>
          </w:tcPr>
          <w:p>
            <w:pPr>
              <w:bidi w:val="1"/>
              <w:spacing w:before="0" w:after="0" w:line="276" w:lineRule="auto"/>
            </w:pPr>
            <w:r>
              <w:rPr>
                <w:rFonts w:ascii="Arial" w:hAnsi="Arial" w:cs="Arial" w:eastAsia="Arial"/>
                <w:b/>
                <w:bCs/>
                <w:color w:val="0E1E3A"/>
                <w:sz w:val="18"/>
                <w:szCs w:val="18"/>
                <w:rtl/>
              </w:rPr>
              <w:t>320,568,367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2024م</w:t>
            </w:r>
          </w:p>
        </w:tc>
        <w:tc>
          <w:tcPr>
            <w:tcW w:type="dxa" w:w="6860"/>
          </w:tcPr>
          <w:p>
            <w:pPr>
              <w:bidi w:val="1"/>
              <w:spacing w:before="0" w:after="0" w:line="276" w:lineRule="auto"/>
            </w:pPr>
            <w:r>
              <w:rPr>
                <w:rFonts w:ascii="Arial" w:hAnsi="Arial" w:cs="Arial" w:eastAsia="Arial"/>
                <w:b/>
                <w:bCs/>
                <w:color w:val="0E1E3A"/>
                <w:sz w:val="18"/>
                <w:szCs w:val="18"/>
                <w:rtl/>
              </w:rPr>
              <w:t>326,714,958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2024م</w:t>
            </w:r>
          </w:p>
        </w:tc>
        <w:tc>
          <w:tcPr>
            <w:tcW w:type="dxa" w:w="6860"/>
          </w:tcPr>
          <w:p>
            <w:pPr>
              <w:bidi w:val="1"/>
              <w:spacing w:before="0" w:after="0" w:line="276" w:lineRule="auto"/>
            </w:pPr>
            <w:r>
              <w:rPr>
                <w:rFonts w:ascii="Arial" w:hAnsi="Arial" w:cs="Arial" w:eastAsia="Arial"/>
                <w:b/>
                <w:bCs/>
                <w:color w:val="0E1E3A"/>
                <w:sz w:val="18"/>
                <w:szCs w:val="18"/>
                <w:rtl/>
              </w:rPr>
              <w:t>296,927,632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2024م</w:t>
            </w:r>
          </w:p>
        </w:tc>
        <w:tc>
          <w:tcPr>
            <w:tcW w:type="dxa" w:w="6860"/>
          </w:tcPr>
          <w:p>
            <w:pPr>
              <w:bidi w:val="1"/>
              <w:spacing w:before="0" w:after="0" w:line="276" w:lineRule="auto"/>
            </w:pPr>
            <w:r>
              <w:rPr>
                <w:rFonts w:ascii="Arial" w:hAnsi="Arial" w:cs="Arial" w:eastAsia="Arial"/>
                <w:b/>
                <w:bCs/>
                <w:color w:val="0E1E3A"/>
                <w:sz w:val="18"/>
                <w:szCs w:val="18"/>
                <w:rtl/>
              </w:rPr>
              <w:t>305,438,296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2025م</w:t>
            </w:r>
          </w:p>
        </w:tc>
        <w:tc>
          <w:tcPr>
            <w:tcW w:type="dxa" w:w="6860"/>
          </w:tcPr>
          <w:p>
            <w:pPr>
              <w:bidi w:val="1"/>
              <w:spacing w:before="0" w:after="0" w:line="276" w:lineRule="auto"/>
            </w:pPr>
            <w:r>
              <w:rPr>
                <w:rFonts w:ascii="Arial" w:hAnsi="Arial" w:cs="Arial" w:eastAsia="Arial"/>
                <w:b/>
                <w:bCs/>
                <w:color w:val="0E1E3A"/>
                <w:sz w:val="18"/>
                <w:szCs w:val="18"/>
                <w:rtl/>
              </w:rPr>
              <w:t>286,525,708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الأول (31 مارس 2025م)</w:t>
            </w:r>
          </w:p>
        </w:tc>
        <w:tc>
          <w:tcPr>
            <w:tcW w:type="dxa" w:w="6860"/>
          </w:tcPr>
          <w:p>
            <w:pPr>
              <w:bidi w:val="1"/>
              <w:spacing w:before="0" w:after="0" w:line="276" w:lineRule="auto"/>
            </w:pPr>
            <w:r>
              <w:rPr>
                <w:rFonts w:ascii="Arial" w:hAnsi="Arial" w:cs="Arial" w:eastAsia="Arial"/>
                <w:b/>
                <w:bCs/>
                <w:color w:val="0E1E3A"/>
                <w:sz w:val="18"/>
                <w:szCs w:val="18"/>
                <w:rtl/>
              </w:rPr>
              <w:t>6.06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 (من تاريخ إلى 31 ديسمبر 2024م إلى 27 مارس 2025م)</w:t>
            </w:r>
          </w:p>
        </w:tc>
        <w:tc>
          <w:tcPr>
            <w:tcW w:type="dxa" w:w="6860"/>
          </w:tcPr>
          <w:p>
            <w:pPr>
              <w:bidi w:val="1"/>
              <w:spacing w:before="0" w:after="0" w:line="276" w:lineRule="auto"/>
            </w:pPr>
            <w:r>
              <w:rPr>
                <w:rFonts w:ascii="Arial" w:hAnsi="Arial" w:cs="Arial" w:eastAsia="Arial"/>
                <w:b/>
                <w:bCs/>
                <w:color w:val="0E1E3A"/>
                <w:sz w:val="18"/>
                <w:szCs w:val="18"/>
              </w:rPr>
              <w:t>‎-6.19%‎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الأول 2025م)</w:t>
            </w:r>
          </w:p>
        </w:tc>
        <w:tc>
          <w:tcPr>
            <w:tcW w:type="dxa" w:w="6860"/>
          </w:tcPr>
          <w:p>
            <w:pPr>
              <w:bidi w:val="1"/>
              <w:spacing w:before="0" w:after="0" w:line="276" w:lineRule="auto"/>
            </w:pPr>
            <w:r>
              <w:rPr>
                <w:rFonts w:ascii="Arial" w:hAnsi="Arial" w:cs="Arial" w:eastAsia="Arial"/>
                <w:b/>
                <w:bCs/>
                <w:color w:val="0E1E3A"/>
                <w:sz w:val="18"/>
                <w:szCs w:val="18"/>
              </w:rPr>
              <w:t>‎-39.40%‎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6.95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6.02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w:t>
            </w:r>
          </w:p>
        </w:tc>
        <w:tc>
          <w:tcPr>
            <w:tcW w:type="dxa" w:w="6860"/>
          </w:tcPr>
          <w:p>
            <w:pPr>
              <w:bidi w:val="1"/>
              <w:spacing w:before="0" w:after="0" w:line="276" w:lineRule="auto"/>
            </w:pPr>
            <w:r>
              <w:rPr>
                <w:rFonts w:ascii="Arial" w:hAnsi="Arial" w:cs="Arial" w:eastAsia="Arial"/>
                <w:b/>
                <w:bCs/>
                <w:color w:val="0E1E3A"/>
                <w:sz w:val="18"/>
                <w:szCs w:val="18"/>
                <w:rtl/>
              </w:rPr>
              <w:t>47,281,470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43"/>
            <wp:cNvGraphicFramePr>
              <a:graphicFrameLocks noChangeAspect="1"/>
            </wp:cNvGraphicFramePr>
            <a:graphic>
              <a:graphicData uri="http://schemas.openxmlformats.org/drawingml/2006/picture">
                <pic:pic>
                  <pic:nvPicPr>
                    <pic:cNvPr id="0" name="ico_737e94dc9d8d67dbf235ae564951a5f7.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سيقوم مدير الصندوق بتوزيع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الأرباح نصف السنوية المستلمة من عوائد استثمارات الصندوق، بعد خصم المصروفات على مالكي الوحدات مرتين في السنة، على أن تكون التوزيعات خلال شهري أغسطس وفبراير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المدفوعة خلال الربع المعني *</w:t>
            </w:r>
          </w:p>
        </w:tc>
        <w:tc>
          <w:tcPr>
            <w:tcW w:type="dxa" w:w="6860"/>
          </w:tcPr>
          <w:p>
            <w:pPr>
              <w:bidi w:val="1"/>
              <w:spacing w:before="0" w:after="0" w:line="276" w:lineRule="auto"/>
            </w:pPr>
            <w:r>
              <w:rPr>
                <w:rFonts w:ascii="Arial" w:hAnsi="Arial" w:cs="Arial" w:eastAsia="Arial"/>
                <w:b/>
                <w:bCs/>
                <w:color w:val="0E1E3A"/>
                <w:sz w:val="18"/>
                <w:szCs w:val="18"/>
                <w:rtl/>
              </w:rPr>
              <w:t>10,874,738.10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 **</w:t>
            </w:r>
          </w:p>
        </w:tc>
        <w:tc>
          <w:tcPr>
            <w:tcW w:type="dxa" w:w="6860"/>
          </w:tcPr>
          <w:p>
            <w:pPr>
              <w:bidi w:val="1"/>
              <w:spacing w:before="0" w:after="0" w:line="276" w:lineRule="auto"/>
            </w:pPr>
            <w:r>
              <w:rPr>
                <w:rFonts w:ascii="Arial" w:hAnsi="Arial" w:cs="Arial" w:eastAsia="Arial"/>
                <w:b/>
                <w:bCs/>
                <w:color w:val="0E1E3A"/>
                <w:sz w:val="18"/>
                <w:szCs w:val="18"/>
                <w:rtl/>
              </w:rPr>
              <w:t>10,874,738.10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w:t>
            </w:r>
          </w:p>
        </w:tc>
        <w:tc>
          <w:tcPr>
            <w:tcW w:type="dxa" w:w="6860"/>
          </w:tcPr>
          <w:p>
            <w:pPr>
              <w:bidi w:val="1"/>
              <w:spacing w:before="0" w:after="0" w:line="276" w:lineRule="auto"/>
            </w:pPr>
            <w:r>
              <w:rPr>
                <w:rFonts w:ascii="Arial" w:hAnsi="Arial" w:cs="Arial" w:eastAsia="Arial"/>
                <w:b/>
                <w:bCs/>
                <w:color w:val="0E1E3A"/>
                <w:sz w:val="18"/>
                <w:szCs w:val="18"/>
                <w:rtl/>
              </w:rPr>
              <w:t>0.23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Pr>
              <w:t>‎2.30%‎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w:t>
            </w:r>
          </w:p>
        </w:tc>
        <w:tc>
          <w:tcPr>
            <w:tcW w:type="dxa" w:w="6860"/>
          </w:tcPr>
          <w:p>
            <w:pPr>
              <w:bidi w:val="1"/>
              <w:spacing w:before="0" w:after="0" w:line="276" w:lineRule="auto"/>
            </w:pPr>
            <w:r>
              <w:rPr>
                <w:rFonts w:ascii="Arial" w:hAnsi="Arial" w:cs="Arial" w:eastAsia="Arial"/>
                <w:b/>
                <w:bCs/>
                <w:color w:val="0E1E3A"/>
                <w:sz w:val="18"/>
                <w:szCs w:val="18"/>
              </w:rPr>
              <w:t>‎3.80%‎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w:t>
            </w:r>
          </w:p>
        </w:tc>
        <w:tc>
          <w:tcPr>
            <w:tcW w:type="dxa" w:w="6860"/>
          </w:tcPr>
          <w:p>
            <w:pPr>
              <w:bidi w:val="1"/>
              <w:spacing w:before="0" w:after="0" w:line="276" w:lineRule="auto"/>
            </w:pPr>
            <w:r>
              <w:rPr>
                <w:rFonts w:ascii="Arial" w:hAnsi="Arial" w:cs="Arial" w:eastAsia="Arial"/>
                <w:b/>
                <w:bCs/>
                <w:color w:val="0E1E3A"/>
                <w:sz w:val="18"/>
                <w:szCs w:val="18"/>
                <w:rtl/>
              </w:rPr>
              <w:t>8,202,213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على سعر الوحدة (27 مارس 2025م)</w:t>
            </w:r>
          </w:p>
        </w:tc>
        <w:tc>
          <w:tcPr>
            <w:tcW w:type="dxa" w:w="6860"/>
          </w:tcPr>
          <w:p>
            <w:pPr>
              <w:bidi w:val="1"/>
              <w:spacing w:before="0" w:after="0" w:line="276" w:lineRule="auto"/>
            </w:pPr>
            <w:r>
              <w:rPr>
                <w:rFonts w:ascii="Arial" w:hAnsi="Arial" w:cs="Arial" w:eastAsia="Arial"/>
                <w:b/>
                <w:bCs/>
                <w:color w:val="0E1E3A"/>
                <w:sz w:val="18"/>
                <w:szCs w:val="18"/>
              </w:rPr>
              <w:t>‎2.86%‎</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1 يناير 2025م إلى 31 مارس 2025م.</w:t>
      </w:r>
      <w:r>
        <w:br/>
      </w:r>
      <w:r>
        <w:rPr>
          <w:rFonts w:ascii="Arial" w:hAnsi="Arial" w:cs="Arial" w:eastAsia="Arial"/>
          <w:color w:val="5A6478"/>
          <w:sz w:val="17"/>
          <w:szCs w:val="17"/>
          <w:rtl/>
        </w:rPr>
        <w:t>** من 1 يوليو 2024م إلى 31 ديسمبر 2024م (تم دفع الأرباح الموزعة بتاريخ 19 فبراير 2025م).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معدل فائدة التمويل المضمون لليلة واحدة (SOFR) لمدة 12 شهرًا، زائد 300 نقطة أساس *</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الفترة السابقة **</w:t>
            </w:r>
          </w:p>
        </w:tc>
        <w:tc>
          <w:tcPr>
            <w:tcW w:type="dxa" w:w="6860"/>
          </w:tcPr>
          <w:p>
            <w:pPr>
              <w:bidi w:val="1"/>
              <w:spacing w:before="0" w:after="0" w:line="276" w:lineRule="auto"/>
            </w:pPr>
            <w:r>
              <w:rPr>
                <w:rFonts w:ascii="Arial" w:hAnsi="Arial" w:cs="Arial" w:eastAsia="Arial"/>
                <w:b/>
                <w:bCs/>
                <w:color w:val="0E1E3A"/>
                <w:sz w:val="18"/>
                <w:szCs w:val="18"/>
              </w:rPr>
              <w:t>‎-6.19%‎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البدء ***</w:t>
            </w:r>
          </w:p>
        </w:tc>
        <w:tc>
          <w:tcPr>
            <w:tcW w:type="dxa" w:w="6860"/>
          </w:tcPr>
          <w:p>
            <w:pPr>
              <w:bidi w:val="1"/>
              <w:spacing w:before="0" w:after="0" w:line="276" w:lineRule="auto"/>
            </w:pPr>
            <w:r>
              <w:rPr>
                <w:rFonts w:ascii="Arial" w:hAnsi="Arial" w:cs="Arial" w:eastAsia="Arial"/>
                <w:b/>
                <w:bCs/>
                <w:color w:val="0E1E3A"/>
                <w:sz w:val="18"/>
                <w:szCs w:val="18"/>
              </w:rPr>
              <w:t>‎-39.40%‎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منذ تاريخ البدء ****</w:t>
            </w:r>
          </w:p>
        </w:tc>
        <w:tc>
          <w:tcPr>
            <w:tcW w:type="dxa" w:w="6860"/>
          </w:tcPr>
          <w:p>
            <w:pPr>
              <w:bidi w:val="1"/>
              <w:spacing w:before="0" w:after="0" w:line="276" w:lineRule="auto"/>
            </w:pPr>
            <w:r>
              <w:rPr>
                <w:rFonts w:ascii="Arial" w:hAnsi="Arial" w:cs="Arial" w:eastAsia="Arial"/>
                <w:b/>
                <w:bCs/>
                <w:color w:val="0E1E3A"/>
                <w:sz w:val="18"/>
                <w:szCs w:val="18"/>
              </w:rPr>
              <w:t>‎-19.03%‎</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في 16 مايو 2023م، قام الصندوق بتغيير مؤشره الاسترشادي من سعر فائدة الإقراض بين مصارف لندن (ليبور) لمدة 12 شهرًا زائد 300 نقطة أساس إلى سعر فائدة التمويل المضمون لليلة واحدة لمدة 12 شهرًا زائد 300 نقطة أساس.</w:t>
      </w:r>
      <w:r>
        <w:br/>
      </w:r>
      <w:r>
        <w:rPr>
          <w:rFonts w:ascii="Arial" w:hAnsi="Arial" w:cs="Arial" w:eastAsia="Arial"/>
          <w:color w:val="5A6478"/>
          <w:sz w:val="17"/>
          <w:szCs w:val="17"/>
          <w:rtl/>
        </w:rPr>
        <w:t>** سعر الوحدة بتاريخ 31 ديسمبر 2024م = 6.46 ر.س.</w:t>
      </w:r>
      <w:r>
        <w:br/>
      </w:r>
      <w:r>
        <w:rPr>
          <w:rFonts w:ascii="Arial" w:hAnsi="Arial" w:cs="Arial" w:eastAsia="Arial"/>
          <w:color w:val="5A6478"/>
          <w:sz w:val="17"/>
          <w:szCs w:val="17"/>
          <w:rtl/>
        </w:rPr>
        <w:t>*** من تاريخ بدء الصندوق إلى نهاية الربع الاول من العام 2025م.</w:t>
      </w:r>
      <w:r>
        <w:br/>
      </w:r>
      <w:r>
        <w:rPr>
          <w:rFonts w:ascii="Arial" w:hAnsi="Arial" w:cs="Arial" w:eastAsia="Arial"/>
          <w:color w:val="5A6478"/>
          <w:sz w:val="17"/>
          <w:szCs w:val="17"/>
          <w:rtl/>
        </w:rPr>
        <w:t>**** العائد الكلي = أداء سعر الوحدة + إجمالي الأرباح الموزعة (إن وجدت).</w:t>
      </w:r>
      <w:r>
        <w:br/>
      </w:r>
      <w:r>
        <w:rPr>
          <w:rFonts w:ascii="Arial" w:hAnsi="Arial" w:cs="Arial" w:eastAsia="Arial"/>
          <w:color w:val="5A6478"/>
          <w:sz w:val="17"/>
          <w:szCs w:val="17"/>
          <w:rtl/>
        </w:rPr>
        <w:t>ملاحظة: يجب الإحاطة بأن سعر الوحدة في السوق المالية يخضع للارتفاع والانخفاض بناء على عوامل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المؤشر الاسترشادي للصندوق هو مؤشر معدل فائدة التمويل المضمون لليلة واحدة (SOFR) لمدة 12 شهرًا زائد 300 نقطة أساس.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46"/>
            <wp:cNvGraphicFramePr>
              <a:graphicFrameLocks noChangeAspect="1"/>
            </wp:cNvGraphicFramePr>
            <a:graphic>
              <a:graphicData uri="http://schemas.openxmlformats.org/drawingml/2006/picture">
                <pic:pic>
                  <pic:nvPicPr>
                    <pic:cNvPr id="0" name="ico_a4c5ee8beea27f59442669cc4fdf4aa4.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للدخل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معدل فائدة التمويل المضمون لليلة واحدة لمدة 12 شهرًا زائد 300 نقطة أساس</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9.6100</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9.5605</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‎-0.52%‎</w:t>
            </w:r>
          </w:p>
        </w:tc>
        <w:tc>
          <w:tcPr>
            <w:tcW w:type="dxa" w:w="3326"/>
          </w:tcPr>
          <w:p>
            <w:pPr>
              <w:bidi w:val="1"/>
              <w:spacing w:before="0" w:after="0" w:line="264" w:lineRule="auto"/>
            </w:pPr>
            <w:r>
              <w:rPr>
                <w:rFonts w:ascii="Arial" w:hAnsi="Arial" w:cs="Arial" w:eastAsia="Arial"/>
                <w:color w:val="0E1E3A"/>
                <w:sz w:val="17"/>
                <w:szCs w:val="17"/>
                <w:rtl/>
              </w:rPr>
              <w:t xml:space="preserve">*** </w:t>
            </w:r>
            <w:r>
              <w:rPr>
                <w:rFonts w:ascii="Arial" w:hAnsi="Arial" w:cs="Arial" w:eastAsia="Arial"/>
                <w:color w:val="0E1E3A"/>
                <w:sz w:val="17"/>
                <w:szCs w:val="17"/>
              </w:rPr>
              <w:t>‎1.71%‎</w:t>
            </w:r>
          </w:p>
        </w:tc>
      </w:tr>
      <w:tr>
        <w:tc>
          <w:tcPr>
            <w:tcW w:type="dxa" w:w="3326"/>
          </w:tcPr>
          <w:p>
            <w:pPr>
              <w:bidi w:val="1"/>
              <w:spacing w:before="0" w:after="0" w:line="264" w:lineRule="auto"/>
            </w:pPr>
            <w:r>
              <w:rPr>
                <w:rFonts w:ascii="Arial" w:hAnsi="Arial" w:cs="Arial" w:eastAsia="Arial"/>
                <w:color w:val="0E1E3A"/>
                <w:sz w:val="17"/>
                <w:szCs w:val="17"/>
                <w:rtl/>
              </w:rPr>
              <w:t xml:space="preserve">كما في تاريخ 31 ديسمبر 2024م كما في تاريخ 31 مارس 2025م *** متوسط أداء المؤشر الاسترشادي يعادل </w:t>
            </w:r>
            <w:r>
              <w:rPr>
                <w:rFonts w:ascii="Arial" w:hAnsi="Arial" w:cs="Arial" w:eastAsia="Arial"/>
                <w:color w:val="0E1E3A"/>
                <w:sz w:val="17"/>
                <w:szCs w:val="17"/>
              </w:rPr>
              <w:t>‎7.47%‎</w:t>
            </w:r>
            <w:r>
              <w:rPr>
                <w:rFonts w:ascii="Arial" w:hAnsi="Arial" w:cs="Arial" w:eastAsia="Arial"/>
                <w:color w:val="0E1E3A"/>
                <w:sz w:val="17"/>
                <w:szCs w:val="17"/>
                <w:rtl/>
              </w:rPr>
              <w:t xml:space="preserve"> سنويا، أي ما يعادل عائد </w:t>
            </w:r>
            <w:r>
              <w:rPr>
                <w:rFonts w:ascii="Arial" w:hAnsi="Arial" w:cs="Arial" w:eastAsia="Arial"/>
                <w:color w:val="0E1E3A"/>
                <w:sz w:val="17"/>
                <w:szCs w:val="17"/>
              </w:rPr>
              <w:t>‎1.71%‎</w:t>
            </w:r>
            <w:r>
              <w:rPr>
                <w:rFonts w:ascii="Arial" w:hAnsi="Arial" w:cs="Arial" w:eastAsia="Arial"/>
                <w:color w:val="0E1E3A"/>
                <w:sz w:val="17"/>
                <w:szCs w:val="17"/>
                <w:rtl/>
              </w:rPr>
              <w:t xml:space="preserve"> للربع المعني.</w:t>
            </w:r>
          </w:p>
        </w:tc>
        <w:tc>
          <w:tcPr>
            <w:tcW w:type="dxa" w:w="3326"/>
          </w:tcPr>
          <w:p>
            <w:pPr>
              <w:bidi w:val="1"/>
              <w:spacing w:before="0" w:after="0" w:line="264" w:lineRule="auto"/>
            </w:pPr>
          </w:p>
        </w:tc>
        <w:tc>
          <w:tcPr>
            <w:tcW w:type="dxa" w:w="3326"/>
          </w:tcPr>
          <w:p>
            <w:pPr>
              <w:bidi w:val="1"/>
              <w:spacing w:before="0" w:after="0" w:line="264" w:lineRule="auto"/>
            </w:pP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4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48"/>
            <wp:cNvGraphicFramePr>
              <a:graphicFrameLocks noChangeAspect="1"/>
            </wp:cNvGraphicFramePr>
            <a:graphic>
              <a:graphicData uri="http://schemas.openxmlformats.org/drawingml/2006/picture">
                <pic:pic>
                  <pic:nvPicPr>
                    <pic:cNvPr id="0" name="ico_a4c5ee8beea27f59442669cc4fdf4aa4.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إلى صافي قيمة الوحدة "أداء الصندوق"</w:t>
            </w:r>
          </w:p>
        </w:tc>
        <w:tc>
          <w:tcPr>
            <w:tcW w:type="dxa" w:w="1663"/>
          </w:tcPr>
          <w:p>
            <w:pPr>
              <w:bidi w:val="1"/>
              <w:spacing w:before="0" w:after="0" w:line="264" w:lineRule="auto"/>
            </w:pPr>
            <w:r>
              <w:rPr>
                <w:rFonts w:ascii="Arial" w:hAnsi="Arial" w:cs="Arial" w:eastAsia="Arial"/>
                <w:color w:val="0E1E3A"/>
                <w:sz w:val="17"/>
                <w:szCs w:val="17"/>
              </w:rPr>
              <w:t>‎1.88%‎</w:t>
            </w:r>
          </w:p>
        </w:tc>
        <w:tc>
          <w:tcPr>
            <w:tcW w:type="dxa" w:w="1663"/>
          </w:tcPr>
          <w:p>
            <w:pPr>
              <w:bidi w:val="1"/>
              <w:spacing w:before="0" w:after="0" w:line="264" w:lineRule="auto"/>
            </w:pPr>
            <w:r>
              <w:rPr>
                <w:rFonts w:ascii="Arial" w:hAnsi="Arial" w:cs="Arial" w:eastAsia="Arial"/>
                <w:color w:val="0E1E3A"/>
                <w:sz w:val="17"/>
                <w:szCs w:val="17"/>
              </w:rPr>
              <w:t>‎1.88%‎</w:t>
            </w:r>
          </w:p>
        </w:tc>
        <w:tc>
          <w:tcPr>
            <w:tcW w:type="dxa" w:w="1663"/>
          </w:tcPr>
          <w:p>
            <w:pPr>
              <w:bidi w:val="1"/>
              <w:spacing w:before="0" w:after="0" w:line="264" w:lineRule="auto"/>
            </w:pPr>
            <w:r>
              <w:rPr>
                <w:rFonts w:ascii="Arial" w:hAnsi="Arial" w:cs="Arial" w:eastAsia="Arial"/>
                <w:color w:val="0E1E3A"/>
                <w:sz w:val="17"/>
                <w:szCs w:val="17"/>
              </w:rPr>
              <w:t>‎2.99%‎</w:t>
            </w:r>
          </w:p>
        </w:tc>
        <w:tc>
          <w:tcPr>
            <w:tcW w:type="dxa" w:w="1663"/>
          </w:tcPr>
          <w:p>
            <w:pPr>
              <w:bidi w:val="1"/>
              <w:spacing w:before="0" w:after="0" w:line="264" w:lineRule="auto"/>
            </w:pPr>
            <w:r>
              <w:rPr>
                <w:rFonts w:ascii="Arial" w:hAnsi="Arial" w:cs="Arial" w:eastAsia="Arial"/>
                <w:color w:val="0E1E3A"/>
                <w:sz w:val="17"/>
                <w:szCs w:val="17"/>
              </w:rPr>
              <w:t>‎12.83%‎</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‎1.71%‎</w:t>
            </w:r>
          </w:p>
        </w:tc>
        <w:tc>
          <w:tcPr>
            <w:tcW w:type="dxa" w:w="1663"/>
          </w:tcPr>
          <w:p>
            <w:pPr>
              <w:bidi w:val="1"/>
              <w:spacing w:before="0" w:after="0" w:line="264" w:lineRule="auto"/>
            </w:pPr>
            <w:r>
              <w:rPr>
                <w:rFonts w:ascii="Arial" w:hAnsi="Arial" w:cs="Arial" w:eastAsia="Arial"/>
                <w:color w:val="0E1E3A"/>
                <w:sz w:val="17"/>
                <w:szCs w:val="17"/>
              </w:rPr>
              <w:t>‎1.71%‎</w:t>
            </w:r>
          </w:p>
        </w:tc>
        <w:tc>
          <w:tcPr>
            <w:tcW w:type="dxa" w:w="1663"/>
          </w:tcPr>
          <w:p>
            <w:pPr>
              <w:bidi w:val="1"/>
              <w:spacing w:before="0" w:after="0" w:line="264" w:lineRule="auto"/>
            </w:pPr>
            <w:r>
              <w:rPr>
                <w:rFonts w:ascii="Arial" w:hAnsi="Arial" w:cs="Arial" w:eastAsia="Arial"/>
                <w:color w:val="0E1E3A"/>
                <w:sz w:val="17"/>
                <w:szCs w:val="17"/>
              </w:rPr>
              <w:t>‎7.47%‎</w:t>
            </w:r>
          </w:p>
        </w:tc>
        <w:tc>
          <w:tcPr>
            <w:tcW w:type="dxa" w:w="1663"/>
          </w:tcPr>
          <w:p>
            <w:pPr>
              <w:bidi w:val="1"/>
              <w:spacing w:before="0" w:after="0" w:line="264" w:lineRule="auto"/>
            </w:pPr>
            <w:r>
              <w:rPr>
                <w:rFonts w:ascii="Arial" w:hAnsi="Arial" w:cs="Arial" w:eastAsia="Arial"/>
                <w:color w:val="0E1E3A"/>
                <w:sz w:val="17"/>
                <w:szCs w:val="17"/>
              </w:rPr>
              <w:t>‎30.37%‎</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‎0.17%‎</w:t>
            </w:r>
          </w:p>
        </w:tc>
        <w:tc>
          <w:tcPr>
            <w:tcW w:type="dxa" w:w="1663"/>
          </w:tcPr>
          <w:p>
            <w:pPr>
              <w:bidi w:val="1"/>
              <w:spacing w:before="0" w:after="0" w:line="264" w:lineRule="auto"/>
            </w:pPr>
            <w:r>
              <w:rPr>
                <w:rFonts w:ascii="Arial" w:hAnsi="Arial" w:cs="Arial" w:eastAsia="Arial"/>
                <w:color w:val="0E1E3A"/>
                <w:sz w:val="17"/>
                <w:szCs w:val="17"/>
              </w:rPr>
              <w:t>‎0.17%‎</w:t>
            </w:r>
          </w:p>
        </w:tc>
        <w:tc>
          <w:tcPr>
            <w:tcW w:type="dxa" w:w="1663"/>
          </w:tcPr>
          <w:p>
            <w:pPr>
              <w:bidi w:val="1"/>
              <w:spacing w:before="0" w:after="0" w:line="264" w:lineRule="auto"/>
            </w:pPr>
            <w:r>
              <w:rPr>
                <w:rFonts w:ascii="Arial" w:hAnsi="Arial" w:cs="Arial" w:eastAsia="Arial"/>
                <w:color w:val="0E1E3A"/>
                <w:sz w:val="17"/>
                <w:szCs w:val="17"/>
              </w:rPr>
              <w:t>‎-4.48%‎</w:t>
            </w:r>
          </w:p>
        </w:tc>
        <w:tc>
          <w:tcPr>
            <w:tcW w:type="dxa" w:w="1663"/>
          </w:tcPr>
          <w:p>
            <w:pPr>
              <w:bidi w:val="1"/>
              <w:spacing w:before="0" w:after="0" w:line="264" w:lineRule="auto"/>
            </w:pPr>
            <w:r>
              <w:rPr>
                <w:rFonts w:ascii="Arial" w:hAnsi="Arial" w:cs="Arial" w:eastAsia="Arial"/>
                <w:color w:val="0E1E3A"/>
                <w:sz w:val="17"/>
                <w:szCs w:val="17"/>
              </w:rPr>
              <w:t>‎-17.54%‎</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عن الفترة من 1 يناير 2025م إلى 31 مارس 2025م.</w:t>
      </w:r>
      <w:r>
        <w:br/>
      </w:r>
      <w:r>
        <w:rPr>
          <w:rFonts w:ascii="Arial" w:hAnsi="Arial" w:cs="Arial" w:eastAsia="Arial"/>
          <w:color w:val="5A6478"/>
          <w:sz w:val="17"/>
          <w:szCs w:val="17"/>
          <w:rtl/>
        </w:rPr>
        <w:t xml:space="preserve">** عن الفترة من 1 يناير 2025م إلى 31 مارس 2025م متضمنة التوزيعات النقدية بنسبة </w:t>
      </w:r>
      <w:r>
        <w:rPr>
          <w:rFonts w:ascii="Arial" w:hAnsi="Arial" w:cs="Arial" w:eastAsia="Arial"/>
          <w:color w:val="5A6478"/>
          <w:sz w:val="17"/>
          <w:szCs w:val="17"/>
        </w:rPr>
        <w:t>‎2.30%‎</w:t>
      </w:r>
      <w:r>
        <w:rPr>
          <w:rFonts w:ascii="Arial" w:hAnsi="Arial" w:cs="Arial" w:eastAsia="Arial"/>
          <w:color w:val="5A6478"/>
          <w:sz w:val="17"/>
          <w:szCs w:val="17"/>
          <w:rtl/>
        </w:rPr>
        <w:t>.</w:t>
      </w:r>
      <w:r>
        <w:br/>
      </w:r>
      <w:r>
        <w:rPr>
          <w:rFonts w:ascii="Arial" w:hAnsi="Arial" w:cs="Arial" w:eastAsia="Arial"/>
          <w:color w:val="5A6478"/>
          <w:sz w:val="17"/>
          <w:szCs w:val="17"/>
          <w:rtl/>
        </w:rPr>
        <w:t xml:space="preserve">*** عن الفترة من 1 يناير 2025م إلى 31 مارس 2025م متضمنة توزيعات نقدية بنسبة </w:t>
      </w:r>
      <w:r>
        <w:rPr>
          <w:rFonts w:ascii="Arial" w:hAnsi="Arial" w:cs="Arial" w:eastAsia="Arial"/>
          <w:color w:val="5A6478"/>
          <w:sz w:val="17"/>
          <w:szCs w:val="17"/>
        </w:rPr>
        <w:t>‎2.30%‎</w:t>
      </w:r>
      <w:r>
        <w:rPr>
          <w:rFonts w:ascii="Arial" w:hAnsi="Arial" w:cs="Arial" w:eastAsia="Arial"/>
          <w:color w:val="5A6478"/>
          <w:sz w:val="17"/>
          <w:szCs w:val="17"/>
          <w:rtl/>
        </w:rPr>
        <w:t>.</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49"/>
            <wp:cNvGraphicFramePr>
              <a:graphicFrameLocks noChangeAspect="1"/>
            </wp:cNvGraphicFramePr>
            <a:graphic>
              <a:graphicData uri="http://schemas.openxmlformats.org/drawingml/2006/picture">
                <pic:pic>
                  <pic:nvPicPr>
                    <pic:cNvPr id="0" name="ico_47bcec02f49b9d1a764a57a70a5c8310.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1</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2</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3</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 4</w:t>
            </w:r>
          </w:p>
        </w:tc>
        <w:tc>
          <w:tcPr>
            <w:tcW w:type="dxa" w:w="1663"/>
          </w:tcPr>
          <w:p>
            <w:pPr>
              <w:bidi w:val="1"/>
              <w:spacing w:before="0" w:after="0" w:line="264" w:lineRule="auto"/>
            </w:pPr>
            <w:r>
              <w:rPr>
                <w:rFonts w:ascii="Arial" w:hAnsi="Arial" w:cs="Arial" w:eastAsia="Arial"/>
                <w:color w:val="0E1E3A"/>
                <w:sz w:val="17"/>
                <w:szCs w:val="17"/>
                <w:rtl/>
              </w:rPr>
              <w:t>11.96</w:t>
            </w:r>
          </w:p>
        </w:tc>
        <w:tc>
          <w:tcPr>
            <w:tcW w:type="dxa" w:w="1663"/>
          </w:tcPr>
          <w:p>
            <w:pPr>
              <w:bidi w:val="1"/>
              <w:spacing w:before="0" w:after="0" w:line="264" w:lineRule="auto"/>
            </w:pPr>
            <w:r>
              <w:rPr>
                <w:rFonts w:ascii="Arial" w:hAnsi="Arial" w:cs="Arial" w:eastAsia="Arial"/>
                <w:color w:val="0E1E3A"/>
                <w:sz w:val="17"/>
                <w:szCs w:val="17"/>
                <w:rtl/>
              </w:rPr>
              <w:t>11.96</w:t>
            </w:r>
          </w:p>
        </w:tc>
        <w:tc>
          <w:tcPr>
            <w:tcW w:type="dxa" w:w="1663"/>
          </w:tcPr>
          <w:p>
            <w:pPr>
              <w:bidi w:val="1"/>
              <w:spacing w:before="0" w:after="0" w:line="264" w:lineRule="auto"/>
            </w:pPr>
            <w:r>
              <w:rPr>
                <w:rFonts w:ascii="Arial" w:hAnsi="Arial" w:cs="Arial" w:eastAsia="Arial"/>
                <w:color w:val="0E1E3A"/>
                <w:sz w:val="17"/>
                <w:szCs w:val="17"/>
                <w:rtl/>
              </w:rPr>
              <w:t>15.19</w:t>
            </w:r>
          </w:p>
        </w:tc>
        <w:tc>
          <w:tcPr>
            <w:tcW w:type="dxa" w:w="1663"/>
          </w:tcPr>
          <w:p>
            <w:pPr>
              <w:bidi w:val="1"/>
              <w:spacing w:before="0" w:after="0" w:line="264" w:lineRule="auto"/>
            </w:pPr>
            <w:r>
              <w:rPr>
                <w:rFonts w:ascii="Arial" w:hAnsi="Arial" w:cs="Arial" w:eastAsia="Arial"/>
                <w:color w:val="0E1E3A"/>
                <w:sz w:val="17"/>
                <w:szCs w:val="17"/>
                <w:rtl/>
              </w:rPr>
              <w:t>15.97</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 5</w:t>
            </w:r>
          </w:p>
        </w:tc>
        <w:tc>
          <w:tcPr>
            <w:tcW w:type="dxa" w:w="1663"/>
          </w:tcPr>
          <w:p>
            <w:pPr>
              <w:bidi w:val="1"/>
              <w:spacing w:before="0" w:after="0" w:line="264" w:lineRule="auto"/>
            </w:pPr>
            <w:r>
              <w:rPr>
                <w:rFonts w:ascii="Arial" w:hAnsi="Arial" w:cs="Arial" w:eastAsia="Arial"/>
                <w:color w:val="0E1E3A"/>
                <w:sz w:val="17"/>
                <w:szCs w:val="17"/>
                <w:rtl/>
              </w:rPr>
              <w:t>-2.76</w:t>
            </w:r>
          </w:p>
        </w:tc>
        <w:tc>
          <w:tcPr>
            <w:tcW w:type="dxa" w:w="1663"/>
          </w:tcPr>
          <w:p>
            <w:pPr>
              <w:bidi w:val="1"/>
              <w:spacing w:before="0" w:after="0" w:line="264" w:lineRule="auto"/>
            </w:pPr>
            <w:r>
              <w:rPr>
                <w:rFonts w:ascii="Arial" w:hAnsi="Arial" w:cs="Arial" w:eastAsia="Arial"/>
                <w:color w:val="0E1E3A"/>
                <w:sz w:val="17"/>
                <w:szCs w:val="17"/>
                <w:rtl/>
              </w:rPr>
              <w:t>-2.76</w:t>
            </w:r>
          </w:p>
        </w:tc>
        <w:tc>
          <w:tcPr>
            <w:tcW w:type="dxa" w:w="1663"/>
          </w:tcPr>
          <w:p>
            <w:pPr>
              <w:bidi w:val="1"/>
              <w:spacing w:before="0" w:after="0" w:line="264" w:lineRule="auto"/>
            </w:pPr>
            <w:r>
              <w:rPr>
                <w:rFonts w:ascii="Arial" w:hAnsi="Arial" w:cs="Arial" w:eastAsia="Arial"/>
                <w:color w:val="0E1E3A"/>
                <w:sz w:val="17"/>
                <w:szCs w:val="17"/>
                <w:rtl/>
              </w:rPr>
              <w:t>-0.74</w:t>
            </w:r>
          </w:p>
        </w:tc>
        <w:tc>
          <w:tcPr>
            <w:tcW w:type="dxa" w:w="1663"/>
          </w:tcPr>
          <w:p>
            <w:pPr>
              <w:bidi w:val="1"/>
              <w:spacing w:before="0" w:after="0" w:line="264" w:lineRule="auto"/>
            </w:pPr>
            <w:r>
              <w:rPr>
                <w:rFonts w:ascii="Arial" w:hAnsi="Arial" w:cs="Arial" w:eastAsia="Arial"/>
                <w:color w:val="0E1E3A"/>
                <w:sz w:val="17"/>
                <w:szCs w:val="17"/>
                <w:rtl/>
              </w:rPr>
              <w:t>-0.53</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6</w:t>
            </w:r>
          </w:p>
        </w:tc>
        <w:tc>
          <w:tcPr>
            <w:tcW w:type="dxa" w:w="1663"/>
          </w:tcPr>
          <w:p>
            <w:pPr>
              <w:bidi w:val="1"/>
              <w:spacing w:before="0" w:after="0" w:line="264" w:lineRule="auto"/>
            </w:pPr>
            <w:r>
              <w:rPr>
                <w:rFonts w:ascii="Arial" w:hAnsi="Arial" w:cs="Arial" w:eastAsia="Arial"/>
                <w:color w:val="0E1E3A"/>
                <w:sz w:val="17"/>
                <w:szCs w:val="17"/>
                <w:rtl/>
              </w:rPr>
              <w:t>12.11</w:t>
            </w:r>
          </w:p>
        </w:tc>
        <w:tc>
          <w:tcPr>
            <w:tcW w:type="dxa" w:w="1663"/>
          </w:tcPr>
          <w:p>
            <w:pPr>
              <w:bidi w:val="1"/>
              <w:spacing w:before="0" w:after="0" w:line="264" w:lineRule="auto"/>
            </w:pPr>
            <w:r>
              <w:rPr>
                <w:rFonts w:ascii="Arial" w:hAnsi="Arial" w:cs="Arial" w:eastAsia="Arial"/>
                <w:color w:val="0E1E3A"/>
                <w:sz w:val="17"/>
                <w:szCs w:val="17"/>
                <w:rtl/>
              </w:rPr>
              <w:t>12.11</w:t>
            </w:r>
          </w:p>
        </w:tc>
        <w:tc>
          <w:tcPr>
            <w:tcW w:type="dxa" w:w="1663"/>
          </w:tcPr>
          <w:p>
            <w:pPr>
              <w:bidi w:val="1"/>
              <w:spacing w:before="0" w:after="0" w:line="264" w:lineRule="auto"/>
            </w:pPr>
            <w:r>
              <w:rPr>
                <w:rFonts w:ascii="Arial" w:hAnsi="Arial" w:cs="Arial" w:eastAsia="Arial"/>
                <w:color w:val="0E1E3A"/>
                <w:sz w:val="17"/>
                <w:szCs w:val="17"/>
                <w:rtl/>
              </w:rPr>
              <w:t>15.21</w:t>
            </w:r>
          </w:p>
        </w:tc>
        <w:tc>
          <w:tcPr>
            <w:tcW w:type="dxa" w:w="1663"/>
          </w:tcPr>
          <w:p>
            <w:pPr>
              <w:bidi w:val="1"/>
              <w:spacing w:before="0" w:after="0" w:line="264" w:lineRule="auto"/>
            </w:pPr>
            <w:r>
              <w:rPr>
                <w:rFonts w:ascii="Arial" w:hAnsi="Arial" w:cs="Arial" w:eastAsia="Arial"/>
                <w:color w:val="0E1E3A"/>
                <w:sz w:val="17"/>
                <w:szCs w:val="17"/>
                <w:rtl/>
              </w:rPr>
              <w:t>16.01</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 7</w:t>
            </w:r>
          </w:p>
        </w:tc>
        <w:tc>
          <w:tcPr>
            <w:tcW w:type="dxa" w:w="1663"/>
          </w:tcPr>
          <w:p>
            <w:pPr>
              <w:bidi w:val="1"/>
              <w:spacing w:before="0" w:after="0" w:line="264" w:lineRule="auto"/>
            </w:pPr>
            <w:r>
              <w:rPr>
                <w:rFonts w:ascii="Arial" w:hAnsi="Arial" w:cs="Arial" w:eastAsia="Arial"/>
                <w:color w:val="0E1E3A"/>
                <w:sz w:val="17"/>
                <w:szCs w:val="17"/>
                <w:rtl/>
              </w:rPr>
              <w:t>-0.15</w:t>
            </w:r>
          </w:p>
        </w:tc>
        <w:tc>
          <w:tcPr>
            <w:tcW w:type="dxa" w:w="1663"/>
          </w:tcPr>
          <w:p>
            <w:pPr>
              <w:bidi w:val="1"/>
              <w:spacing w:before="0" w:after="0" w:line="264" w:lineRule="auto"/>
            </w:pPr>
            <w:r>
              <w:rPr>
                <w:rFonts w:ascii="Arial" w:hAnsi="Arial" w:cs="Arial" w:eastAsia="Arial"/>
                <w:color w:val="0E1E3A"/>
                <w:sz w:val="17"/>
                <w:szCs w:val="17"/>
                <w:rtl/>
              </w:rPr>
              <w:t>-0.15</w:t>
            </w:r>
          </w:p>
        </w:tc>
        <w:tc>
          <w:tcPr>
            <w:tcW w:type="dxa" w:w="1663"/>
          </w:tcPr>
          <w:p>
            <w:pPr>
              <w:bidi w:val="1"/>
              <w:spacing w:before="0" w:after="0" w:line="264" w:lineRule="auto"/>
            </w:pPr>
            <w:r>
              <w:rPr>
                <w:rFonts w:ascii="Arial" w:hAnsi="Arial" w:cs="Arial" w:eastAsia="Arial"/>
                <w:color w:val="0E1E3A"/>
                <w:sz w:val="17"/>
                <w:szCs w:val="17"/>
                <w:rtl/>
              </w:rPr>
              <w:t>-0.02</w:t>
            </w:r>
          </w:p>
        </w:tc>
        <w:tc>
          <w:tcPr>
            <w:tcW w:type="dxa" w:w="1663"/>
          </w:tcPr>
          <w:p>
            <w:pPr>
              <w:bidi w:val="1"/>
              <w:spacing w:before="0" w:after="0" w:line="264" w:lineRule="auto"/>
            </w:pPr>
            <w:r>
              <w:rPr>
                <w:rFonts w:ascii="Arial" w:hAnsi="Arial" w:cs="Arial" w:eastAsia="Arial"/>
                <w:color w:val="0E1E3A"/>
                <w:sz w:val="17"/>
                <w:szCs w:val="17"/>
                <w:rtl/>
              </w:rPr>
              <w:t>-0.02</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 8</w:t>
            </w:r>
          </w:p>
        </w:tc>
        <w:tc>
          <w:tcPr>
            <w:tcW w:type="dxa" w:w="1663"/>
          </w:tcPr>
          <w:p>
            <w:pPr>
              <w:bidi w:val="1"/>
              <w:spacing w:before="0" w:after="0" w:line="264" w:lineRule="auto"/>
            </w:pPr>
            <w:r>
              <w:rPr>
                <w:rFonts w:ascii="Arial" w:hAnsi="Arial" w:cs="Arial" w:eastAsia="Arial"/>
                <w:color w:val="0E1E3A"/>
                <w:sz w:val="17"/>
                <w:szCs w:val="17"/>
                <w:rtl/>
              </w:rPr>
              <w:t>-0.42</w:t>
            </w:r>
          </w:p>
        </w:tc>
        <w:tc>
          <w:tcPr>
            <w:tcW w:type="dxa" w:w="1663"/>
          </w:tcPr>
          <w:p>
            <w:pPr>
              <w:bidi w:val="1"/>
              <w:spacing w:before="0" w:after="0" w:line="264" w:lineRule="auto"/>
            </w:pPr>
            <w:r>
              <w:rPr>
                <w:rFonts w:ascii="Arial" w:hAnsi="Arial" w:cs="Arial" w:eastAsia="Arial"/>
                <w:color w:val="0E1E3A"/>
                <w:sz w:val="17"/>
                <w:szCs w:val="17"/>
                <w:rtl/>
              </w:rPr>
              <w:t>-0.42</w:t>
            </w:r>
          </w:p>
        </w:tc>
        <w:tc>
          <w:tcPr>
            <w:tcW w:type="dxa" w:w="1663"/>
          </w:tcPr>
          <w:p>
            <w:pPr>
              <w:bidi w:val="1"/>
              <w:spacing w:before="0" w:after="0" w:line="264" w:lineRule="auto"/>
            </w:pPr>
            <w:r>
              <w:rPr>
                <w:rFonts w:ascii="Arial" w:hAnsi="Arial" w:cs="Arial" w:eastAsia="Arial"/>
                <w:color w:val="0E1E3A"/>
                <w:sz w:val="17"/>
                <w:szCs w:val="17"/>
                <w:rtl/>
              </w:rPr>
              <w:t>-0.15</w:t>
            </w:r>
          </w:p>
        </w:tc>
        <w:tc>
          <w:tcPr>
            <w:tcW w:type="dxa" w:w="1663"/>
          </w:tcPr>
          <w:p>
            <w:pPr>
              <w:bidi w:val="1"/>
              <w:spacing w:before="0" w:after="0" w:line="264" w:lineRule="auto"/>
            </w:pPr>
            <w:r>
              <w:rPr>
                <w:rFonts w:ascii="Arial" w:hAnsi="Arial" w:cs="Arial" w:eastAsia="Arial"/>
                <w:color w:val="0E1E3A"/>
                <w:sz w:val="17"/>
                <w:szCs w:val="17"/>
                <w:rtl/>
              </w:rPr>
              <w:t>-0.12</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 9</w:t>
            </w:r>
          </w:p>
        </w:tc>
        <w:tc>
          <w:tcPr>
            <w:tcW w:type="dxa" w:w="1663"/>
          </w:tcPr>
          <w:p>
            <w:pPr>
              <w:bidi w:val="1"/>
              <w:spacing w:before="0" w:after="0" w:line="264" w:lineRule="auto"/>
            </w:pPr>
            <w:r>
              <w:rPr>
                <w:rFonts w:ascii="Arial" w:hAnsi="Arial" w:cs="Arial" w:eastAsia="Arial"/>
                <w:color w:val="0E1E3A"/>
                <w:sz w:val="17"/>
                <w:szCs w:val="17"/>
              </w:rPr>
              <w:t>‎-3.34%‎</w:t>
            </w:r>
          </w:p>
        </w:tc>
        <w:tc>
          <w:tcPr>
            <w:tcW w:type="dxa" w:w="1663"/>
          </w:tcPr>
          <w:p>
            <w:pPr>
              <w:bidi w:val="1"/>
              <w:spacing w:before="0" w:after="0" w:line="264" w:lineRule="auto"/>
            </w:pPr>
            <w:r>
              <w:rPr>
                <w:rFonts w:ascii="Arial" w:hAnsi="Arial" w:cs="Arial" w:eastAsia="Arial"/>
                <w:color w:val="0E1E3A"/>
                <w:sz w:val="17"/>
                <w:szCs w:val="17"/>
              </w:rPr>
              <w:t>‎-3.34%‎</w:t>
            </w:r>
          </w:p>
        </w:tc>
        <w:tc>
          <w:tcPr>
            <w:tcW w:type="dxa" w:w="1663"/>
          </w:tcPr>
          <w:p>
            <w:pPr>
              <w:bidi w:val="1"/>
              <w:spacing w:before="0" w:after="0" w:line="264" w:lineRule="auto"/>
            </w:pPr>
            <w:r>
              <w:rPr>
                <w:rFonts w:ascii="Arial" w:hAnsi="Arial" w:cs="Arial" w:eastAsia="Arial"/>
                <w:color w:val="0E1E3A"/>
                <w:sz w:val="17"/>
                <w:szCs w:val="17"/>
              </w:rPr>
              <w:t>‎-1.00%‎</w:t>
            </w:r>
          </w:p>
        </w:tc>
        <w:tc>
          <w:tcPr>
            <w:tcW w:type="dxa" w:w="1663"/>
          </w:tcPr>
          <w:p>
            <w:pPr>
              <w:bidi w:val="1"/>
              <w:spacing w:before="0" w:after="0" w:line="264" w:lineRule="auto"/>
            </w:pPr>
            <w:r>
              <w:rPr>
                <w:rFonts w:ascii="Arial" w:hAnsi="Arial" w:cs="Arial" w:eastAsia="Arial"/>
                <w:color w:val="0E1E3A"/>
                <w:sz w:val="17"/>
                <w:szCs w:val="17"/>
              </w:rPr>
              <w:t>‎-0.78%‎</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عن الفترة من 1 يناير 2025م إلى 31 مارس 2025م</w:t>
      </w:r>
      <w:r>
        <w:br/>
      </w:r>
      <w:r>
        <w:rPr>
          <w:rFonts w:ascii="Arial" w:hAnsi="Arial" w:cs="Arial" w:eastAsia="Arial"/>
          <w:color w:val="5A6478"/>
          <w:sz w:val="17"/>
          <w:szCs w:val="17"/>
          <w:rtl/>
        </w:rPr>
        <w:t>2. عن الفترة من 1 يناير 2025م إلى 31 مارس 2025م</w:t>
      </w:r>
      <w:r>
        <w:br/>
      </w:r>
      <w:r>
        <w:rPr>
          <w:rFonts w:ascii="Arial" w:hAnsi="Arial" w:cs="Arial" w:eastAsia="Arial"/>
          <w:color w:val="5A6478"/>
          <w:sz w:val="17"/>
          <w:szCs w:val="17"/>
          <w:rtl/>
        </w:rPr>
        <w:t>3. عن الفترة من 1 ابريل 2024م إلى 31 مارس 2025م</w:t>
      </w:r>
      <w:r>
        <w:br/>
      </w:r>
      <w:r>
        <w:rPr>
          <w:rFonts w:ascii="Arial" w:hAnsi="Arial" w:cs="Arial" w:eastAsia="Arial"/>
          <w:color w:val="5A6478"/>
          <w:sz w:val="17"/>
          <w:szCs w:val="17"/>
          <w:rtl/>
        </w:rPr>
        <w:t>4. الانحراف المعياري هو مقياس للمخاطر ويتم حسابه على أنه التذبذب بين العوائد على مدى فترة زمنية. كلما انخفض التقلب، كانت مجموعة العوائد أكثر تجانسا.</w:t>
      </w:r>
      <w:r>
        <w:br/>
      </w:r>
      <w:r>
        <w:rPr>
          <w:rFonts w:ascii="Arial" w:hAnsi="Arial" w:cs="Arial" w:eastAsia="Arial"/>
          <w:color w:val="5A6478"/>
          <w:sz w:val="17"/>
          <w:szCs w:val="17"/>
          <w:rtl/>
        </w:rPr>
        <w:t>5.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أداؤه حسب المخاطر أفضل.</w:t>
      </w:r>
      <w:r>
        <w:br/>
      </w:r>
      <w:r>
        <w:rPr>
          <w:rFonts w:ascii="Arial" w:hAnsi="Arial" w:cs="Arial" w:eastAsia="Arial"/>
          <w:color w:val="5A6478"/>
          <w:sz w:val="17"/>
          <w:szCs w:val="17"/>
          <w:rtl/>
        </w:rPr>
        <w:t>6. خطأ التتبع هو مقياس للمخاطر ويتم حسابه على أنه الانحراف المعياري بين عائد مدير الصندوق وعائد المؤشر. كلما انخفض خطأ التتبع، كلما انحرف مدير الصندوق عن المؤشر.</w:t>
      </w:r>
      <w:r>
        <w:br/>
      </w:r>
      <w:r>
        <w:rPr>
          <w:rFonts w:ascii="Arial" w:hAnsi="Arial" w:cs="Arial" w:eastAsia="Arial"/>
          <w:color w:val="5A6478"/>
          <w:sz w:val="17"/>
          <w:szCs w:val="17"/>
          <w:rtl/>
        </w:rPr>
        <w:t>7.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8. ألفا يقيس أي تفوق حققه أداء الصندوق مقارنة بأداء المؤشر المرتبط به.</w:t>
      </w:r>
      <w:r>
        <w:br/>
      </w:r>
      <w:r>
        <w:rPr>
          <w:rFonts w:ascii="Arial" w:hAnsi="Arial" w:cs="Arial" w:eastAsia="Arial"/>
          <w:color w:val="5A6478"/>
          <w:sz w:val="17"/>
          <w:szCs w:val="17"/>
          <w:rtl/>
        </w:rPr>
        <w:t>9. مؤشر المعلومات هو عبارة عن مقياس أداء معدل المخاطر، ويتم حسابه على أنه العائد النشط لمدير الصندوق مقسوما على خطأ التتبع الخاص به. كلما ارتفع معدل المعلومات، كلما ازدادت قدرة مدير الصندوق على تحقيق عوائد زائدة لكل وحدة من المخاطر الزائدة.</w:t>
      </w:r>
      <w:r>
        <w:br/>
      </w:r>
      <w:r>
        <w:rPr>
          <w:rFonts w:ascii="Arial" w:hAnsi="Arial" w:cs="Arial" w:eastAsia="Arial"/>
          <w:color w:val="5A6478"/>
          <w:sz w:val="17"/>
          <w:szCs w:val="17"/>
          <w:rtl/>
        </w:rPr>
        <w:t>تم احتساب معايير الأداء والمخاطر بناء على اعلى أسعار تداول للوحدة في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50"/>
            <wp:cNvGraphicFramePr>
              <a:graphicFrameLocks noChangeAspect="1"/>
            </wp:cNvGraphicFramePr>
            <a:graphic>
              <a:graphicData uri="http://schemas.openxmlformats.org/drawingml/2006/picture">
                <pic:pic>
                  <pic:nvPicPr>
                    <pic:cNvPr id="0" name="ico_c788ceab6c6867ef93d8dd6b26beef99.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وأية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 xml:space="preserve">يود مدير الصندوق التنويه إلى أن استثمار الصندوق في “صندوق الدخل بريستيج بريميوم الزراعي” – والذي يشكل ما نسبته </w:t>
      </w:r>
      <w:r>
        <w:rPr>
          <w:rFonts w:ascii="Arial" w:hAnsi="Arial" w:cs="Arial" w:eastAsia="Arial"/>
          <w:color w:val="0E1E3A"/>
          <w:sz w:val="20"/>
          <w:szCs w:val="20"/>
        </w:rPr>
        <w:t>‎8.6%‎</w:t>
      </w:r>
      <w:r>
        <w:rPr>
          <w:rFonts w:ascii="Arial" w:hAnsi="Arial" w:cs="Arial" w:eastAsia="Arial"/>
          <w:color w:val="0E1E3A"/>
          <w:sz w:val="20"/>
          <w:szCs w:val="20"/>
          <w:rtl/>
        </w:rPr>
        <w:t xml:space="preserve"> من صافي قيمة أصول الصندوق كما في نهاية مارس 2025 – يخضع حاليا لعملية تخارج ممنهجة، وذلك بناء على ما تم إبلاغه به بتاريخ 7 أكتوبر 2024 من قبل مدير صندوق الدخل “بريستيج بريميوم الزراعي”، والذي أفاد بقرار إدارة الصندوق تصفيته.</w:t>
      </w:r>
    </w:p>
    <w:p>
      <w:pPr>
        <w:bidi w:val="1"/>
        <w:spacing w:before="0" w:after="80" w:line="312" w:lineRule="auto"/>
      </w:pPr>
      <w:r>
        <w:rPr>
          <w:rFonts w:ascii="Arial" w:hAnsi="Arial" w:cs="Arial" w:eastAsia="Arial"/>
          <w:color w:val="0E1E3A"/>
          <w:sz w:val="20"/>
          <w:szCs w:val="20"/>
          <w:rtl/>
        </w:rPr>
        <w:t>وبناء عليه، وحسب ما ورد من مدير صندوق الدخل “بريستيج بريميوم الزراعي”، فإن الصندوق لن يقوم بتوزيع أي أرباح خلال فترة التخارج، الأمر الذي قد يؤثر سلبا على قدرة الصندوق على توزيع أرباح لمالكي الوحدات خلال تلك الفترة وحتى اكتمال عملية التخارج.</w:t>
      </w:r>
    </w:p>
    <w:p>
      <w:pPr>
        <w:bidi w:val="1"/>
        <w:spacing w:before="0" w:after="80" w:line="312" w:lineRule="auto"/>
      </w:pPr>
      <w:r>
        <w:rPr>
          <w:rFonts w:ascii="Arial" w:hAnsi="Arial" w:cs="Arial" w:eastAsia="Arial"/>
          <w:color w:val="0E1E3A"/>
          <w:sz w:val="20"/>
          <w:szCs w:val="20"/>
          <w:rtl/>
        </w:rPr>
        <w:t>كما يُنوه مدير الصندوق إلى أن عملية التخارج تنطوي على عدد من المخاطر، من بينها:</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احتمالية تأخر الجدول الزمني للتخارج أو تحقيق عوائد أقل من المتوقع.</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انخفاض في قيمة الاستثمار حال تصفية الأصول بأسعار أقل من قيمتها الدفترية.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احتمال عدم استرداد كامل رأس المال المستثمر في حال واجه الصندوق المصفى أي التزامات أو مصاريف إضافية غير متوقعة.</w:t>
      </w:r>
    </w:p>
    <w:p>
      <w:pPr>
        <w:bidi w:val="1"/>
        <w:spacing w:before="0" w:after="80" w:line="312" w:lineRule="auto"/>
      </w:pPr>
      <w:r>
        <w:rPr>
          <w:rFonts w:ascii="Arial" w:hAnsi="Arial" w:cs="Arial" w:eastAsia="Arial"/>
          <w:color w:val="0E1E3A"/>
          <w:sz w:val="20"/>
          <w:szCs w:val="20"/>
          <w:rtl/>
        </w:rPr>
        <w:t>وسيواصل مدير الصندوق متابعة تطورات عملية التخارج عن كثب، وسيقوم بإبلاغ مالكي الوحدات بأي مستجدات جوهرية في حينها.</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5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قطاع الإجارة والتمويل التجاري والصكوك</w:t>
      </w:r>
    </w:p>
    <w:p>
      <w:pPr>
        <w:pStyle w:val="Heading3"/>
        <w:keepNext/>
        <w:bidi w:val="1"/>
        <w:spacing w:before="160" w:after="100" w:line="300" w:lineRule="auto"/>
      </w:pPr>
      <w:r>
        <w:rPr>
          <w:rFonts w:ascii="Arial" w:hAnsi="Arial" w:cs="Arial" w:eastAsia="Arial"/>
          <w:b/>
          <w:bCs/>
          <w:color w:val="12284B"/>
          <w:sz w:val="22"/>
          <w:szCs w:val="22"/>
          <w:rtl/>
        </w:rPr>
        <w:t>نظرة على قطاع الإجارة: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انخفض مؤشر ثقة الأعمال الشهري لشهر مارس 2025 الصادر عن مؤسسة تأجير وتمويل المعدات (MCI-EFI) إلى 58.1 في شهر فبراير، مما يعكس استمرار الطلب القوي على معدات الاستثمار. يُظهر هذا المؤشر تقييمات كبار التنفيذيين في قطاع تمويل المعدات – الذي يُقدر حجمه بنحو 1.3 تريليون دولار أمريكي – للأوضاع الحالية وتوقعاتهم المستقبلية.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تتوقع رابطة تأجير وتمويل المعدات (ELFA) أن القطاع في وضع جيد لتحقيق نمو، حتى في حال تباطؤ وتيرة خفض أسعار الفائدة من قبل الاحتياطي الفيدرالي.</w:t>
      </w:r>
    </w:p>
    <w:p>
      <w:pPr>
        <w:pStyle w:val="Heading3"/>
        <w:keepNext/>
        <w:bidi w:val="1"/>
        <w:spacing w:before="160" w:after="100" w:line="300" w:lineRule="auto"/>
      </w:pPr>
      <w:r>
        <w:rPr>
          <w:rFonts w:ascii="Arial" w:hAnsi="Arial" w:cs="Arial" w:eastAsia="Arial"/>
          <w:b/>
          <w:bCs/>
          <w:color w:val="12284B"/>
          <w:sz w:val="22"/>
          <w:szCs w:val="22"/>
          <w:rtl/>
        </w:rPr>
        <w:t>نظرة على قطاع التمويل التجاري:</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يُظهر آخر تحديث للتجارة العالمية الصادر عن مؤتمر الأمم المتحدة للتجارة والتنمية (UNCTAD) أن التجارة العالمية وصلت إلى مستوى قياسي بلغ 33 تريليون دولار أمريكي، بزيادة قدرها </w:t>
      </w:r>
      <w:r>
        <w:rPr>
          <w:rFonts w:ascii="Arial" w:hAnsi="Arial" w:cs="Arial" w:eastAsia="Arial"/>
          <w:color w:val="0E1E3A"/>
          <w:sz w:val="20"/>
          <w:szCs w:val="20"/>
        </w:rPr>
        <w:t>‎3.7%‎</w:t>
      </w:r>
      <w:r>
        <w:rPr>
          <w:rFonts w:ascii="Arial" w:hAnsi="Arial" w:cs="Arial" w:eastAsia="Arial"/>
          <w:color w:val="0E1E3A"/>
          <w:sz w:val="20"/>
          <w:szCs w:val="20"/>
          <w:rtl/>
        </w:rPr>
        <w:t xml:space="preserve"> مقارنة بعام 2023، مدفوعة بنمو الاقتصادات النامية وقوة قطاع الخدمات.</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وعلى الرغم من التحديات الجيوسياسية والاقتصادية، يؤكد تقرير سجل التجارة لعام 2024 الصادر عن الغرفة التجارية الدولية (ICC) على متانة أدوات التمويل التجاري، حيث ظلت معدلات التعثر منخفضة في جميع المناطق وفئات الأصول. ويؤكد التقرير أن تمويل التجارة وسلاسل الإمداد والصادرات ما زال يُصَّنف ضمن فئة المخاطر المنخفضة.</w:t>
      </w:r>
    </w:p>
    <w:p>
      <w:pPr>
        <w:pStyle w:val="Heading3"/>
        <w:keepNext/>
        <w:bidi w:val="1"/>
        <w:spacing w:before="160" w:after="100" w:line="300" w:lineRule="auto"/>
      </w:pPr>
      <w:r>
        <w:rPr>
          <w:rFonts w:ascii="Arial" w:hAnsi="Arial" w:cs="Arial" w:eastAsia="Arial"/>
          <w:b/>
          <w:bCs/>
          <w:color w:val="12284B"/>
          <w:sz w:val="22"/>
          <w:szCs w:val="22"/>
          <w:rtl/>
        </w:rPr>
        <w:t>نظرة على قطاع الصكوك:</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تتوقع وكالة ستاندرد آند بورز للتصنيفات الائتمانية (S&amp;P Global Ratings) أن يتراوح حجم إصدار الصكوك في عام 2025 بين 190 و 200 مليار دولار أمريكي، مدعوما بالأداء القوي للسوق في العام السابق. وقد بلغ إجمالي الإصدارات في عام 2024 نحو 193.4 مليار دولار، بانخفاض طفيف عن 197.8 مليار دولار المسجلة في عام 2023.</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من حيث الأداء، سجل مؤشر داو جونز للصكوك في الولايات المتحدة (باستثناء إعادة استثمار الأرباح) مكاسب بنسبة </w:t>
      </w:r>
      <w:r>
        <w:rPr>
          <w:rFonts w:ascii="Arial" w:hAnsi="Arial" w:cs="Arial" w:eastAsia="Arial"/>
          <w:color w:val="0E1E3A"/>
          <w:sz w:val="20"/>
          <w:szCs w:val="20"/>
        </w:rPr>
        <w:t>‎2.30%‎</w:t>
      </w:r>
      <w:r>
        <w:rPr>
          <w:rFonts w:ascii="Arial" w:hAnsi="Arial" w:cs="Arial" w:eastAsia="Arial"/>
          <w:color w:val="0E1E3A"/>
          <w:sz w:val="20"/>
          <w:szCs w:val="20"/>
          <w:rtl/>
        </w:rPr>
        <w:t xml:space="preserve"> خلال الربع الأول من عام 2025، في حين ارتفع مؤشر ستاندرد آند بورز لسندات وصكوك دول مجلس التعاون الخليجي بنسبة </w:t>
      </w:r>
      <w:r>
        <w:rPr>
          <w:rFonts w:ascii="Arial" w:hAnsi="Arial" w:cs="Arial" w:eastAsia="Arial"/>
          <w:color w:val="0E1E3A"/>
          <w:sz w:val="20"/>
          <w:szCs w:val="20"/>
        </w:rPr>
        <w:t>‎2.78%‎</w:t>
      </w:r>
      <w:r>
        <w:rPr>
          <w:rFonts w:ascii="Arial" w:hAnsi="Arial" w:cs="Arial" w:eastAsia="Arial"/>
          <w:color w:val="0E1E3A"/>
          <w:sz w:val="20"/>
          <w:szCs w:val="20"/>
          <w:rtl/>
        </w:rPr>
        <w:t xml:space="preserve"> خلال نفس الفترة.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5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سعر الوحدة المتداولة في السوق منذ بدء الصندوق</w:t>
      </w:r>
    </w:p>
    <w:p>
      <w:pPr>
        <w:bidi w:val="1"/>
        <w:spacing w:before="0" w:after="80" w:line="240" w:lineRule="auto"/>
        <w:jc w:val="center"/>
      </w:pPr>
      <w:r>
        <w:drawing>
          <wp:inline xmlns:a="http://schemas.openxmlformats.org/drawingml/2006/main" xmlns:pic="http://schemas.openxmlformats.org/drawingml/2006/picture">
            <wp:extent cx="6336000" cy="2825514"/>
            <wp:docPr id="26" name="Picture 9053"/>
            <wp:cNvGraphicFramePr>
              <a:graphicFrameLocks noChangeAspect="1"/>
            </wp:cNvGraphicFramePr>
            <a:graphic>
              <a:graphicData uri="http://schemas.openxmlformats.org/drawingml/2006/picture">
                <pic:pic>
                  <pic:nvPicPr>
                    <pic:cNvPr id="0" name="x6.j.jpg"/>
                    <pic:cNvPicPr/>
                  </pic:nvPicPr>
                  <pic:blipFill>
                    <a:blip r:embed="rId24"/>
                    <a:stretch>
                      <a:fillRect/>
                    </a:stretch>
                  </pic:blipFill>
                  <pic:spPr>
                    <a:xfrm>
                      <a:off x="0" y="0"/>
                      <a:ext cx="6336000" cy="2825514"/>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7" name="Picture 9054"/>
            <wp:cNvGraphicFramePr>
              <a:graphicFrameLocks noChangeAspect="1"/>
            </wp:cNvGraphicFramePr>
            <a:graphic>
              <a:graphicData uri="http://schemas.openxmlformats.org/drawingml/2006/picture">
                <pic:pic>
                  <pic:nvPicPr>
                    <pic:cNvPr id="0" name="ico_8eba3796ad497c7a142d47da7c90fea0.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8" name="Picture 9055"/>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 الاستثمار في الصندوق خاضع للرسوم كما هو مذكور في الشروط والأحكام.</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المتداول — البيان الربع سنوي الربع الأول 2025م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