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28"/>
            <wp:cNvGraphicFramePr/>
            <a:graphic>
              <a:graphicData uri="http://schemas.openxmlformats.org/drawingml/2006/picture">
                <pic:pic>
                  <pic:nvPicPr>
                    <pic:cNvPr id="9028" name="banner9028.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 name="Picture 9029"/>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OVERVIEW</w:t>
      </w:r>
    </w:p>
    <w:p>
      <w:pPr>
        <w:spacing w:before="0" w:after="80" w:line="312" w:lineRule="auto"/>
      </w:pPr>
      <w:r>
        <w:rPr>
          <w:rFonts w:ascii="Arial" w:hAnsi="Arial" w:cs="Arial" w:eastAsia="Arial"/>
          <w:color w:val="0E1E3A"/>
          <w:sz w:val="20"/>
          <w:szCs w:val="20"/>
        </w:rPr>
        <w:t>Alkhabeer Diversified Income Traded Fund (“the Fund”) is a closed-ended Shari’a-compliant investment traded fund established in accordance with the applicable laws and regulations of the Kingdom of Saudi Arabia and regulated by the Capital Market Authority (CMA). The Fund’s investment objective is to generate periodic income to investors by investing in Shari’a-compliant income generating assets. The Fund Manager “Alkhabeer Capital” plans to invest in Sukuk, trade finance transactions, leasing transactions, income funds and Murabaha transactions, either directly or through investment funds.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3" name="Picture 903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KEY FUND FACTS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TADAWUL SYMBOL</w:t>
            </w:r>
          </w:p>
        </w:tc>
        <w:tc>
          <w:tcPr>
            <w:tcW w:type="dxa" w:w="6860"/>
          </w:tcPr>
          <w:p>
            <w:pPr>
              <w:spacing w:before="0" w:after="0" w:line="276" w:lineRule="auto"/>
            </w:pPr>
            <w:r>
              <w:rPr>
                <w:rFonts w:ascii="Arial" w:hAnsi="Arial" w:cs="Arial" w:eastAsia="Arial"/>
                <w:b/>
                <w:bCs/>
                <w:color w:val="0E1E3A"/>
                <w:sz w:val="18"/>
                <w:szCs w:val="18"/>
              </w:rPr>
              <w:t>4700</w:t>
            </w:r>
          </w:p>
        </w:tc>
      </w:tr>
      <w:tr>
        <w:tc>
          <w:tcPr>
            <w:tcW w:type="dxa" w:w="3118"/>
            <w:shd w:val="clear" w:color="auto" w:fill="F3F6FB"/>
          </w:tcPr>
          <w:p>
            <w:pPr>
              <w:spacing w:before="0" w:after="0" w:line="276" w:lineRule="auto"/>
            </w:pPr>
            <w:r>
              <w:rPr>
                <w:rFonts w:ascii="Arial" w:hAnsi="Arial" w:cs="Arial" w:eastAsia="Arial"/>
                <w:color w:val="5A6478"/>
                <w:sz w:val="18"/>
                <w:szCs w:val="18"/>
              </w:rPr>
              <w:t>BLOOMBERG SYMBOL</w:t>
            </w:r>
          </w:p>
        </w:tc>
        <w:tc>
          <w:tcPr>
            <w:tcW w:type="dxa" w:w="6860"/>
          </w:tcPr>
          <w:p>
            <w:pPr>
              <w:spacing w:before="0" w:after="0" w:line="276" w:lineRule="auto"/>
            </w:pPr>
            <w:r>
              <w:rPr>
                <w:rFonts w:ascii="Arial" w:hAnsi="Arial" w:cs="Arial" w:eastAsia="Arial"/>
                <w:b/>
                <w:bCs/>
                <w:color w:val="0E1E3A"/>
                <w:sz w:val="18"/>
                <w:szCs w:val="18"/>
              </w:rPr>
              <w:t>AKDICIF: AB</w:t>
            </w:r>
          </w:p>
        </w:tc>
      </w:tr>
      <w:tr>
        <w:tc>
          <w:tcPr>
            <w:tcW w:type="dxa" w:w="3118"/>
            <w:shd w:val="clear" w:color="auto" w:fill="F3F6FB"/>
          </w:tcPr>
          <w:p>
            <w:pPr>
              <w:spacing w:before="0" w:after="0" w:line="276" w:lineRule="auto"/>
            </w:pPr>
            <w:r>
              <w:rPr>
                <w:rFonts w:ascii="Arial" w:hAnsi="Arial" w:cs="Arial" w:eastAsia="Arial"/>
                <w:color w:val="5A6478"/>
                <w:sz w:val="18"/>
                <w:szCs w:val="18"/>
              </w:rPr>
              <w:t>FUND TYPE</w:t>
            </w:r>
          </w:p>
        </w:tc>
        <w:tc>
          <w:tcPr>
            <w:tcW w:type="dxa" w:w="6860"/>
          </w:tcPr>
          <w:p>
            <w:pPr>
              <w:spacing w:before="0" w:after="0" w:line="276" w:lineRule="auto"/>
            </w:pPr>
            <w:r>
              <w:rPr>
                <w:rFonts w:ascii="Arial" w:hAnsi="Arial" w:cs="Arial" w:eastAsia="Arial"/>
                <w:b/>
                <w:bCs/>
                <w:color w:val="0E1E3A"/>
                <w:sz w:val="18"/>
                <w:szCs w:val="18"/>
              </w:rPr>
              <w:t>Closed-ended Traded Public Fund</w:t>
            </w:r>
          </w:p>
        </w:tc>
      </w:tr>
      <w:tr>
        <w:tc>
          <w:tcPr>
            <w:tcW w:type="dxa" w:w="3118"/>
            <w:shd w:val="clear" w:color="auto" w:fill="F3F6FB"/>
          </w:tcPr>
          <w:p>
            <w:pPr>
              <w:spacing w:before="0" w:after="0" w:line="276" w:lineRule="auto"/>
            </w:pPr>
            <w:r>
              <w:rPr>
                <w:rFonts w:ascii="Arial" w:hAnsi="Arial" w:cs="Arial" w:eastAsia="Arial"/>
                <w:color w:val="5A6478"/>
                <w:sz w:val="18"/>
                <w:szCs w:val="18"/>
              </w:rPr>
              <w:t>LISTING DATE</w:t>
            </w:r>
          </w:p>
        </w:tc>
        <w:tc>
          <w:tcPr>
            <w:tcW w:type="dxa" w:w="6860"/>
          </w:tcPr>
          <w:p>
            <w:pPr>
              <w:spacing w:before="0" w:after="0" w:line="276" w:lineRule="auto"/>
            </w:pPr>
            <w:r>
              <w:rPr>
                <w:rFonts w:ascii="Arial" w:hAnsi="Arial" w:cs="Arial" w:eastAsia="Arial"/>
                <w:b/>
                <w:bCs/>
                <w:color w:val="0E1E3A"/>
                <w:sz w:val="18"/>
                <w:szCs w:val="18"/>
              </w:rPr>
              <w:t>19 January 2021</w:t>
            </w:r>
          </w:p>
        </w:tc>
      </w:tr>
      <w:tr>
        <w:tc>
          <w:tcPr>
            <w:tcW w:type="dxa" w:w="3118"/>
            <w:shd w:val="clear" w:color="auto" w:fill="F3F6FB"/>
          </w:tcPr>
          <w:p>
            <w:pPr>
              <w:spacing w:before="0" w:after="0" w:line="276" w:lineRule="auto"/>
            </w:pPr>
            <w:r>
              <w:rPr>
                <w:rFonts w:ascii="Arial" w:hAnsi="Arial" w:cs="Arial" w:eastAsia="Arial"/>
                <w:color w:val="5A6478"/>
                <w:sz w:val="18"/>
                <w:szCs w:val="18"/>
              </w:rPr>
              <w:t>FUND TERM</w:t>
            </w:r>
          </w:p>
        </w:tc>
        <w:tc>
          <w:tcPr>
            <w:tcW w:type="dxa" w:w="6860"/>
          </w:tcPr>
          <w:p>
            <w:pPr>
              <w:spacing w:before="0" w:after="0" w:line="276" w:lineRule="auto"/>
            </w:pPr>
            <w:r>
              <w:rPr>
                <w:rFonts w:ascii="Arial" w:hAnsi="Arial" w:cs="Arial" w:eastAsia="Arial"/>
                <w:b/>
                <w:bCs/>
                <w:color w:val="0E1E3A"/>
                <w:sz w:val="18"/>
                <w:szCs w:val="18"/>
              </w:rPr>
              <w:t>99 years, starting as from the Listing Date, renewable</w:t>
            </w:r>
          </w:p>
        </w:tc>
      </w:tr>
      <w:tr>
        <w:tc>
          <w:tcPr>
            <w:tcW w:type="dxa" w:w="3118"/>
            <w:shd w:val="clear" w:color="auto" w:fill="F3F6FB"/>
          </w:tcPr>
          <w:p>
            <w:pPr>
              <w:spacing w:before="0" w:after="0" w:line="276" w:lineRule="auto"/>
            </w:pPr>
            <w:r>
              <w:rPr>
                <w:rFonts w:ascii="Arial" w:hAnsi="Arial" w:cs="Arial" w:eastAsia="Arial"/>
                <w:color w:val="5A6478"/>
                <w:sz w:val="18"/>
                <w:szCs w:val="18"/>
              </w:rPr>
              <w:t>NET ASSET VALUE PER UNIT</w:t>
            </w:r>
          </w:p>
        </w:tc>
        <w:tc>
          <w:tcPr>
            <w:tcW w:type="dxa" w:w="6860"/>
          </w:tcPr>
          <w:p>
            <w:pPr>
              <w:spacing w:before="0" w:after="0" w:line="276" w:lineRule="auto"/>
            </w:pPr>
            <w:r>
              <w:rPr>
                <w:rFonts w:ascii="Arial" w:hAnsi="Arial" w:cs="Arial" w:eastAsia="Arial"/>
                <w:b/>
                <w:bCs/>
                <w:color w:val="0E1E3A"/>
                <w:sz w:val="18"/>
                <w:szCs w:val="18"/>
              </w:rPr>
              <w:t>SAR 9.5605</w:t>
            </w:r>
          </w:p>
        </w:tc>
      </w:tr>
      <w:tr>
        <w:tc>
          <w:tcPr>
            <w:tcW w:type="dxa" w:w="3118"/>
            <w:shd w:val="clear" w:color="auto" w:fill="F3F6FB"/>
          </w:tcPr>
          <w:p>
            <w:pPr>
              <w:spacing w:before="0" w:after="0" w:line="276" w:lineRule="auto"/>
            </w:pPr>
            <w:r>
              <w:rPr>
                <w:rFonts w:ascii="Arial" w:hAnsi="Arial" w:cs="Arial" w:eastAsia="Arial"/>
                <w:color w:val="5A6478"/>
                <w:sz w:val="18"/>
                <w:szCs w:val="18"/>
              </w:rPr>
              <w:t>FUND ASSETS SIZE*</w:t>
            </w:r>
          </w:p>
        </w:tc>
        <w:tc>
          <w:tcPr>
            <w:tcW w:type="dxa" w:w="6860"/>
          </w:tcPr>
          <w:p>
            <w:pPr>
              <w:spacing w:before="0" w:after="0" w:line="276" w:lineRule="auto"/>
            </w:pPr>
            <w:r>
              <w:rPr>
                <w:rFonts w:ascii="Arial" w:hAnsi="Arial" w:cs="Arial" w:eastAsia="Arial"/>
                <w:b/>
                <w:bCs/>
                <w:color w:val="0E1E3A"/>
                <w:sz w:val="18"/>
                <w:szCs w:val="18"/>
              </w:rPr>
              <w:t>SAR 481,444,971</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CAPITAL AS AT THE LISTING DATE</w:t>
            </w:r>
          </w:p>
        </w:tc>
        <w:tc>
          <w:tcPr>
            <w:tcW w:type="dxa" w:w="6860"/>
          </w:tcPr>
          <w:p>
            <w:pPr>
              <w:spacing w:before="0" w:after="0" w:line="276" w:lineRule="auto"/>
            </w:pPr>
            <w:r>
              <w:rPr>
                <w:rFonts w:ascii="Arial" w:hAnsi="Arial" w:cs="Arial" w:eastAsia="Arial"/>
                <w:b/>
                <w:bCs/>
                <w:color w:val="0E1E3A"/>
                <w:sz w:val="18"/>
                <w:szCs w:val="18"/>
              </w:rPr>
              <w:t>SAR 472,814,700</w:t>
            </w:r>
          </w:p>
        </w:tc>
      </w:tr>
      <w:tr>
        <w:tc>
          <w:tcPr>
            <w:tcW w:type="dxa" w:w="3118"/>
            <w:shd w:val="clear" w:color="auto" w:fill="F3F6FB"/>
          </w:tcPr>
          <w:p>
            <w:pPr>
              <w:spacing w:before="0" w:after="0" w:line="276" w:lineRule="auto"/>
            </w:pPr>
            <w:r>
              <w:rPr>
                <w:rFonts w:ascii="Arial" w:hAnsi="Arial" w:cs="Arial" w:eastAsia="Arial"/>
                <w:color w:val="5A6478"/>
                <w:sz w:val="18"/>
                <w:szCs w:val="18"/>
              </w:rPr>
              <w:t>FINANCING AMOUNT*</w:t>
            </w:r>
          </w:p>
        </w:tc>
        <w:tc>
          <w:tcPr>
            <w:tcW w:type="dxa" w:w="6860"/>
          </w:tcPr>
          <w:p>
            <w:pPr>
              <w:spacing w:before="0" w:after="0" w:line="276" w:lineRule="auto"/>
            </w:pPr>
            <w:r>
              <w:rPr>
                <w:rFonts w:ascii="Arial" w:hAnsi="Arial" w:cs="Arial" w:eastAsia="Arial"/>
                <w:b/>
                <w:bCs/>
                <w:color w:val="0E1E3A"/>
                <w:sz w:val="18"/>
                <w:szCs w:val="18"/>
              </w:rPr>
              <w:t>SAR 26,828,616</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TOTAL ASSET VALUE*</w:t>
            </w:r>
          </w:p>
        </w:tc>
        <w:tc>
          <w:tcPr>
            <w:tcW w:type="dxa" w:w="6860"/>
          </w:tcPr>
          <w:p>
            <w:pPr>
              <w:spacing w:before="0" w:after="0" w:line="276" w:lineRule="auto"/>
            </w:pPr>
            <w:r>
              <w:rPr>
                <w:rFonts w:ascii="Arial" w:hAnsi="Arial" w:cs="Arial" w:eastAsia="Arial"/>
                <w:b/>
                <w:bCs/>
                <w:color w:val="0E1E3A"/>
                <w:sz w:val="18"/>
                <w:szCs w:val="18"/>
              </w:rPr>
              <w:t>5.587%</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5.94%</w:t>
            </w:r>
          </w:p>
        </w:tc>
      </w:tr>
      <w:tr>
        <w:tc>
          <w:tcPr>
            <w:tcW w:type="dxa" w:w="3118"/>
            <w:shd w:val="clear" w:color="auto" w:fill="F3F6FB"/>
          </w:tcPr>
          <w:p>
            <w:pPr>
              <w:spacing w:before="0" w:after="0" w:line="276" w:lineRule="auto"/>
            </w:pPr>
            <w:r>
              <w:rPr>
                <w:rFonts w:ascii="Arial" w:hAnsi="Arial" w:cs="Arial" w:eastAsia="Arial"/>
                <w:color w:val="5A6478"/>
                <w:sz w:val="18"/>
                <w:szCs w:val="18"/>
              </w:rPr>
              <w:t>VALUE OF FUND MANAGER'S INVESTMENT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 MANAGER'S INVESTMENT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0.0%</w:t>
            </w:r>
          </w:p>
        </w:tc>
      </w:tr>
      <w:tr>
        <w:tc>
          <w:tcPr>
            <w:tcW w:type="dxa" w:w="3118"/>
            <w:shd w:val="clear" w:color="auto" w:fill="F3F6FB"/>
          </w:tcPr>
          <w:p>
            <w:pPr>
              <w:spacing w:before="0" w:after="0" w:line="276" w:lineRule="auto"/>
            </w:pPr>
            <w:r>
              <w:rPr>
                <w:rFonts w:ascii="Arial" w:hAnsi="Arial" w:cs="Arial" w:eastAsia="Arial"/>
                <w:color w:val="5A6478"/>
                <w:sz w:val="18"/>
                <w:szCs w:val="18"/>
              </w:rPr>
              <w:t>RISK LEVEL</w:t>
            </w:r>
          </w:p>
        </w:tc>
        <w:tc>
          <w:tcPr>
            <w:tcW w:type="dxa" w:w="6860"/>
          </w:tcPr>
          <w:p>
            <w:pPr>
              <w:spacing w:before="0" w:after="0" w:line="276" w:lineRule="auto"/>
            </w:pPr>
            <w:r>
              <w:rPr>
                <w:rFonts w:ascii="Arial" w:hAnsi="Arial" w:cs="Arial" w:eastAsia="Arial"/>
                <w:b/>
                <w:bCs/>
                <w:color w:val="0E1E3A"/>
                <w:sz w:val="18"/>
                <w:szCs w:val="18"/>
              </w:rPr>
              <w:t>High</w:t>
            </w:r>
          </w:p>
        </w:tc>
      </w:tr>
      <w:tr>
        <w:tc>
          <w:tcPr>
            <w:tcW w:type="dxa" w:w="3118"/>
            <w:shd w:val="clear" w:color="auto" w:fill="F3F6FB"/>
          </w:tcPr>
          <w:p>
            <w:pPr>
              <w:spacing w:before="0" w:after="0" w:line="276" w:lineRule="auto"/>
            </w:pPr>
            <w:r>
              <w:rPr>
                <w:rFonts w:ascii="Arial" w:hAnsi="Arial" w:cs="Arial" w:eastAsia="Arial"/>
                <w:color w:val="5A6478"/>
                <w:sz w:val="18"/>
                <w:szCs w:val="18"/>
              </w:rPr>
              <w:t>FUND CURRENCY</w:t>
            </w:r>
          </w:p>
        </w:tc>
        <w:tc>
          <w:tcPr>
            <w:tcW w:type="dxa" w:w="6860"/>
          </w:tcPr>
          <w:p>
            <w:pPr>
              <w:spacing w:before="0" w:after="0" w:line="276" w:lineRule="auto"/>
            </w:pPr>
            <w:r>
              <w:rPr>
                <w:rFonts w:ascii="Arial" w:hAnsi="Arial" w:cs="Arial" w:eastAsia="Arial"/>
                <w:b/>
                <w:bCs/>
                <w:color w:val="0E1E3A"/>
                <w:sz w:val="18"/>
                <w:szCs w:val="18"/>
              </w:rPr>
              <w:t>Saudi Arabian Riyal (SAR)</w:t>
            </w:r>
          </w:p>
        </w:tc>
      </w:tr>
      <w:tr>
        <w:tc>
          <w:tcPr>
            <w:tcW w:type="dxa" w:w="3118"/>
            <w:shd w:val="clear" w:color="auto" w:fill="F3F6FB"/>
          </w:tcPr>
          <w:p>
            <w:pPr>
              <w:spacing w:before="0" w:after="0" w:line="276" w:lineRule="auto"/>
            </w:pPr>
            <w:r>
              <w:rPr>
                <w:rFonts w:ascii="Arial" w:hAnsi="Arial" w:cs="Arial" w:eastAsia="Arial"/>
                <w:color w:val="5A6478"/>
                <w:sz w:val="18"/>
                <w:szCs w:val="18"/>
              </w:rPr>
              <w:t>INVESTMENT ADVISOR AND FUND SUB-MANAGER</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UNDERLYING FUNDS’ MANAGEMENT FEES</w:t>
            </w:r>
          </w:p>
        </w:tc>
        <w:tc>
          <w:tcPr>
            <w:tcW w:type="dxa" w:w="6860"/>
          </w:tcPr>
          <w:p>
            <w:pPr>
              <w:spacing w:before="0" w:after="0" w:line="276" w:lineRule="auto"/>
            </w:pPr>
            <w:r>
              <w:rPr>
                <w:rFonts w:ascii="Arial" w:hAnsi="Arial" w:cs="Arial" w:eastAsia="Arial"/>
                <w:b/>
                <w:bCs/>
                <w:color w:val="0E1E3A"/>
                <w:sz w:val="18"/>
                <w:szCs w:val="18"/>
              </w:rPr>
              <w:t>0.33%</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DAYS WEIGHTED AVERAGE</w:t>
            </w:r>
          </w:p>
        </w:tc>
        <w:tc>
          <w:tcPr>
            <w:tcW w:type="dxa" w:w="6860"/>
          </w:tcPr>
          <w:p>
            <w:pPr>
              <w:spacing w:before="0" w:after="0" w:line="276" w:lineRule="auto"/>
            </w:pPr>
            <w:r>
              <w:rPr>
                <w:rFonts w:ascii="Arial" w:hAnsi="Arial" w:cs="Arial" w:eastAsia="Arial"/>
                <w:b/>
                <w:bCs/>
                <w:color w:val="0E1E3A"/>
                <w:sz w:val="18"/>
                <w:szCs w:val="18"/>
              </w:rPr>
              <w:t>90 Days</w:t>
            </w:r>
          </w:p>
        </w:tc>
      </w:tr>
    </w:tbl>
    <w:p>
      <w:pPr>
        <w:spacing w:before="0" w:after="40" w:line="300" w:lineRule="auto"/>
      </w:pPr>
    </w:p>
    <w:p>
      <w:pPr>
        <w:spacing w:before="0" w:after="80" w:line="312" w:lineRule="auto"/>
      </w:pPr>
      <w:r>
        <w:rPr>
          <w:rFonts w:ascii="Arial" w:hAnsi="Arial" w:cs="Arial" w:eastAsia="Arial"/>
          <w:color w:val="5A6478"/>
          <w:sz w:val="17"/>
          <w:szCs w:val="17"/>
        </w:rPr>
        <w:t>* As of 31 March 2025 (Unaudited).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4" name="Picture 903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PORTFOLIO INVESTMENT CONCENTRATION RATIOS *</w:t>
      </w:r>
    </w:p>
    <w:p>
      <w:pPr>
        <w:spacing w:before="0" w:after="80" w:line="240" w:lineRule="auto"/>
        <w:jc w:val="center"/>
      </w:pPr>
      <w:r>
        <w:drawing>
          <wp:inline xmlns:a="http://schemas.openxmlformats.org/drawingml/2006/main" xmlns:pic="http://schemas.openxmlformats.org/drawingml/2006/picture">
            <wp:extent cx="6336000" cy="1836108"/>
            <wp:docPr id="5" name="Picture 9032"/>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36108"/>
                    </a:xfrm>
                    <a:prstGeom prst="rect"/>
                  </pic:spPr>
                </pic:pic>
              </a:graphicData>
            </a:graphic>
          </wp:inline>
        </w:drawing>
      </w:r>
    </w:p>
    <w:p>
      <w:pPr>
        <w:spacing w:before="0" w:after="80" w:line="312" w:lineRule="auto"/>
      </w:pPr>
      <w:r>
        <w:rPr>
          <w:rFonts w:ascii="Arial" w:hAnsi="Arial" w:cs="Arial" w:eastAsia="Arial"/>
          <w:color w:val="5A6478"/>
          <w:sz w:val="17"/>
          <w:szCs w:val="17"/>
        </w:rPr>
        <w:t>The average term of Fund investments is 2.6 years. *</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6" name="Picture 903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FINANCIAL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VALUATION FREQUENCY</w:t>
            </w:r>
          </w:p>
        </w:tc>
        <w:tc>
          <w:tcPr>
            <w:tcW w:type="dxa" w:w="6860"/>
          </w:tcPr>
          <w:p>
            <w:pPr>
              <w:spacing w:before="0" w:after="0" w:line="276" w:lineRule="auto"/>
            </w:pPr>
            <w:r>
              <w:rPr>
                <w:rFonts w:ascii="Arial" w:hAnsi="Arial" w:cs="Arial" w:eastAsia="Arial"/>
                <w:b/>
                <w:bCs/>
                <w:color w:val="0E1E3A"/>
                <w:sz w:val="18"/>
                <w:szCs w:val="18"/>
              </w:rPr>
              <w:t>Quarterly</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ASSET VALUE*</w:t>
            </w:r>
          </w:p>
        </w:tc>
        <w:tc>
          <w:tcPr>
            <w:tcW w:type="dxa" w:w="6860"/>
          </w:tcPr>
          <w:p>
            <w:pPr>
              <w:spacing w:before="0" w:after="0" w:line="276" w:lineRule="auto"/>
            </w:pPr>
            <w:r>
              <w:rPr>
                <w:rFonts w:ascii="Arial" w:hAnsi="Arial" w:cs="Arial" w:eastAsia="Arial"/>
                <w:b/>
                <w:bCs/>
                <w:color w:val="0E1E3A"/>
                <w:sz w:val="18"/>
                <w:szCs w:val="18"/>
              </w:rPr>
              <w:t>SAR 481,444,971</w:t>
            </w:r>
          </w:p>
        </w:tc>
      </w:tr>
      <w:tr>
        <w:tc>
          <w:tcPr>
            <w:tcW w:type="dxa" w:w="3118"/>
            <w:shd w:val="clear" w:color="auto" w:fill="F3F6FB"/>
          </w:tcPr>
          <w:p>
            <w:pPr>
              <w:spacing w:before="0" w:after="0" w:line="276" w:lineRule="auto"/>
            </w:pPr>
            <w:r>
              <w:rPr>
                <w:rFonts w:ascii="Arial" w:hAnsi="Arial" w:cs="Arial" w:eastAsia="Arial"/>
                <w:color w:val="5A6478"/>
                <w:sz w:val="18"/>
                <w:szCs w:val="18"/>
              </w:rPr>
              <w:t>FUND UNITS’ NET ASSET VALUE*</w:t>
            </w:r>
          </w:p>
        </w:tc>
        <w:tc>
          <w:tcPr>
            <w:tcW w:type="dxa" w:w="6860"/>
          </w:tcPr>
          <w:p>
            <w:pPr>
              <w:spacing w:before="0" w:after="0" w:line="276" w:lineRule="auto"/>
            </w:pPr>
            <w:r>
              <w:rPr>
                <w:rFonts w:ascii="Arial" w:hAnsi="Arial" w:cs="Arial" w:eastAsia="Arial"/>
                <w:b/>
                <w:bCs/>
                <w:color w:val="0E1E3A"/>
                <w:sz w:val="18"/>
                <w:szCs w:val="18"/>
              </w:rPr>
              <w:t>SAR 452,033,044</w:t>
            </w:r>
          </w:p>
        </w:tc>
      </w:tr>
      <w:tr>
        <w:tc>
          <w:tcPr>
            <w:tcW w:type="dxa" w:w="3118"/>
            <w:shd w:val="clear" w:color="auto" w:fill="F3F6FB"/>
          </w:tcPr>
          <w:p>
            <w:pPr>
              <w:spacing w:before="0" w:after="0" w:line="276" w:lineRule="auto"/>
            </w:pPr>
            <w:r>
              <w:rPr>
                <w:rFonts w:ascii="Arial" w:hAnsi="Arial" w:cs="Arial" w:eastAsia="Arial"/>
                <w:color w:val="5A6478"/>
                <w:sz w:val="18"/>
                <w:szCs w:val="18"/>
              </w:rPr>
              <w:t>AMOUNT OF DEALING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DEALING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TRANSACTION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EXPENSES AND FEES TO FUND’S TOTAL ASSET VALUE **</w:t>
            </w:r>
          </w:p>
        </w:tc>
        <w:tc>
          <w:tcPr>
            <w:tcW w:type="dxa" w:w="6860"/>
          </w:tcPr>
          <w:p>
            <w:pPr>
              <w:spacing w:before="0" w:after="0" w:line="276" w:lineRule="auto"/>
            </w:pPr>
            <w:r>
              <w:rPr>
                <w:rFonts w:ascii="Arial" w:hAnsi="Arial" w:cs="Arial" w:eastAsia="Arial"/>
                <w:b/>
                <w:bCs/>
                <w:color w:val="0E1E3A"/>
                <w:sz w:val="18"/>
                <w:szCs w:val="18"/>
              </w:rPr>
              <w:t>0.40%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TOTAL COSTS TO FUND’S TOTAL ASSET VALUE***</w:t>
            </w:r>
          </w:p>
        </w:tc>
        <w:tc>
          <w:tcPr>
            <w:tcW w:type="dxa" w:w="6860"/>
          </w:tcPr>
          <w:p>
            <w:pPr>
              <w:spacing w:before="0" w:after="0" w:line="276" w:lineRule="auto"/>
            </w:pPr>
            <w:r>
              <w:rPr>
                <w:rFonts w:ascii="Arial" w:hAnsi="Arial" w:cs="Arial" w:eastAsia="Arial"/>
                <w:b/>
                <w:bCs/>
                <w:color w:val="0E1E3A"/>
                <w:sz w:val="18"/>
                <w:szCs w:val="18"/>
              </w:rPr>
              <w:t>0.48%</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TOTAL COSTS TO FUND’S AVERAGE NET ASSET VALUE****</w:t>
            </w:r>
          </w:p>
        </w:tc>
        <w:tc>
          <w:tcPr>
            <w:tcW w:type="dxa" w:w="6860"/>
          </w:tcPr>
          <w:p>
            <w:pPr>
              <w:spacing w:before="0" w:after="0" w:line="276" w:lineRule="auto"/>
            </w:pPr>
            <w:r>
              <w:rPr>
                <w:rFonts w:ascii="Arial" w:hAnsi="Arial" w:cs="Arial" w:eastAsia="Arial"/>
                <w:b/>
                <w:bCs/>
                <w:color w:val="0E1E3A"/>
                <w:sz w:val="18"/>
                <w:szCs w:val="18"/>
              </w:rPr>
              <w:t>0.51%</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COSTS FOR THE REPORTING QUARTER</w:t>
            </w:r>
          </w:p>
        </w:tc>
        <w:tc>
          <w:tcPr>
            <w:tcW w:type="dxa" w:w="6860"/>
          </w:tcPr>
          <w:p>
            <w:pPr>
              <w:spacing w:before="0" w:after="0" w:line="276" w:lineRule="auto"/>
            </w:pPr>
            <w:r>
              <w:rPr>
                <w:rFonts w:ascii="Arial" w:hAnsi="Arial" w:cs="Arial" w:eastAsia="Arial"/>
                <w:b/>
                <w:bCs/>
                <w:color w:val="0E1E3A"/>
                <w:sz w:val="18"/>
                <w:szCs w:val="18"/>
              </w:rPr>
              <w:t>SAR 2,300,660</w:t>
            </w:r>
          </w:p>
        </w:tc>
      </w:tr>
    </w:tbl>
    <w:p>
      <w:pPr>
        <w:spacing w:before="0" w:after="40" w:line="300" w:lineRule="auto"/>
      </w:pPr>
    </w:p>
    <w:p>
      <w:pPr>
        <w:spacing w:before="0" w:after="80" w:line="312" w:lineRule="auto"/>
      </w:pPr>
      <w:r>
        <w:rPr>
          <w:rFonts w:ascii="Arial" w:hAnsi="Arial" w:cs="Arial" w:eastAsia="Arial"/>
          <w:color w:val="5A6478"/>
          <w:sz w:val="17"/>
          <w:szCs w:val="17"/>
        </w:rPr>
        <w:t>* As of 31 March 2025 (Unaudited).``</w:t>
      </w:r>
      <w:r>
        <w:br/>
      </w:r>
      <w:r>
        <w:rPr>
          <w:rFonts w:ascii="Arial" w:hAnsi="Arial" w:cs="Arial" w:eastAsia="Arial"/>
          <w:color w:val="5A6478"/>
          <w:sz w:val="17"/>
          <w:szCs w:val="17"/>
        </w:rPr>
        <w:t>** Fund expenses and fees are all Fund expenses during the reporting quarter, excluding financing costs.</w:t>
      </w:r>
      <w:r>
        <w:br/>
      </w:r>
      <w:r>
        <w:rPr>
          <w:rFonts w:ascii="Arial" w:hAnsi="Arial" w:cs="Arial" w:eastAsia="Arial"/>
          <w:color w:val="5A6478"/>
          <w:sz w:val="17"/>
          <w:szCs w:val="17"/>
        </w:rPr>
        <w:t>*** Fund total costs are all Fund fees and expenses, including financing costs.</w:t>
      </w:r>
      <w:r>
        <w:br/>
      </w:r>
      <w:r>
        <w:rPr>
          <w:rFonts w:ascii="Arial" w:hAnsi="Arial" w:cs="Arial" w:eastAsia="Arial"/>
          <w:color w:val="5A6478"/>
          <w:sz w:val="17"/>
          <w:szCs w:val="17"/>
        </w:rPr>
        <w:t>**** Fund average NAV for the reporting period = SAR 453,203,166</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7" name="Picture 903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DISTRIBUTION OF INVESTMENTS BY GEOGRAPHY</w:t>
      </w:r>
    </w:p>
    <w:p>
      <w:pPr>
        <w:spacing w:before="0" w:after="80" w:line="240" w:lineRule="auto"/>
        <w:jc w:val="center"/>
      </w:pPr>
      <w:r>
        <w:drawing>
          <wp:inline xmlns:a="http://schemas.openxmlformats.org/drawingml/2006/main" xmlns:pic="http://schemas.openxmlformats.org/drawingml/2006/picture">
            <wp:extent cx="6336000" cy="1836108"/>
            <wp:docPr id="8" name="Picture 9035"/>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836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9" name="Picture 903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LARGEST TEN INVESTMENTS IN THE FUND</w:t>
      </w:r>
    </w:p>
    <w:p>
      <w:pPr>
        <w:spacing w:before="0" w:after="80" w:line="240" w:lineRule="auto"/>
        <w:jc w:val="center"/>
      </w:pPr>
      <w:r>
        <w:drawing>
          <wp:inline xmlns:a="http://schemas.openxmlformats.org/drawingml/2006/main" xmlns:pic="http://schemas.openxmlformats.org/drawingml/2006/picture">
            <wp:extent cx="6336000" cy="2540108"/>
            <wp:docPr id="10" name="Picture 9037"/>
            <wp:cNvGraphicFramePr>
              <a:graphicFrameLocks noChangeAspect="1"/>
            </wp:cNvGraphicFramePr>
            <a:graphic>
              <a:graphicData uri="http://schemas.openxmlformats.org/drawingml/2006/picture">
                <pic:pic>
                  <pic:nvPicPr>
                    <pic:cNvPr id="0" name="x4.j.jpg"/>
                    <pic:cNvPicPr/>
                  </pic:nvPicPr>
                  <pic:blipFill>
                    <a:blip r:embed="rId18"/>
                    <a:stretch>
                      <a:fillRect/>
                    </a:stretch>
                  </pic:blipFill>
                  <pic:spPr>
                    <a:xfrm>
                      <a:off x="0" y="0"/>
                      <a:ext cx="6336000" cy="2540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1" name="Picture 903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ASSETS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TRADE FINANCE PORTFOLIO TOTAL VALUE</w:t>
            </w:r>
          </w:p>
        </w:tc>
        <w:tc>
          <w:tcPr>
            <w:tcW w:type="dxa" w:w="6860"/>
          </w:tcPr>
          <w:p>
            <w:pPr>
              <w:spacing w:before="0" w:after="0" w:line="276" w:lineRule="auto"/>
            </w:pPr>
            <w:r>
              <w:rPr>
                <w:rFonts w:ascii="Arial" w:hAnsi="Arial" w:cs="Arial" w:eastAsia="Arial"/>
                <w:b/>
                <w:bCs/>
                <w:color w:val="0E1E3A"/>
                <w:sz w:val="18"/>
                <w:szCs w:val="18"/>
              </w:rPr>
              <w:t>SAR 142,944,818</w:t>
            </w:r>
          </w:p>
        </w:tc>
      </w:tr>
      <w:tr>
        <w:tc>
          <w:tcPr>
            <w:tcW w:type="dxa" w:w="3118"/>
            <w:shd w:val="clear" w:color="auto" w:fill="F3F6FB"/>
          </w:tcPr>
          <w:p>
            <w:pPr>
              <w:spacing w:before="0" w:after="0" w:line="276" w:lineRule="auto"/>
            </w:pPr>
            <w:r>
              <w:rPr>
                <w:rFonts w:ascii="Arial" w:hAnsi="Arial" w:cs="Arial" w:eastAsia="Arial"/>
                <w:color w:val="5A6478"/>
                <w:sz w:val="18"/>
                <w:szCs w:val="18"/>
              </w:rPr>
              <w:t>LEASING PORTFOLIO TOTAL VALUE</w:t>
            </w:r>
          </w:p>
        </w:tc>
        <w:tc>
          <w:tcPr>
            <w:tcW w:type="dxa" w:w="6860"/>
          </w:tcPr>
          <w:p>
            <w:pPr>
              <w:spacing w:before="0" w:after="0" w:line="276" w:lineRule="auto"/>
            </w:pPr>
            <w:r>
              <w:rPr>
                <w:rFonts w:ascii="Arial" w:hAnsi="Arial" w:cs="Arial" w:eastAsia="Arial"/>
                <w:b/>
                <w:bCs/>
                <w:color w:val="0E1E3A"/>
                <w:sz w:val="18"/>
                <w:szCs w:val="18"/>
              </w:rPr>
              <w:t>SAR 172,152,213</w:t>
            </w:r>
          </w:p>
        </w:tc>
      </w:tr>
      <w:tr>
        <w:tc>
          <w:tcPr>
            <w:tcW w:type="dxa" w:w="3118"/>
            <w:shd w:val="clear" w:color="auto" w:fill="F3F6FB"/>
          </w:tcPr>
          <w:p>
            <w:pPr>
              <w:spacing w:before="0" w:after="0" w:line="276" w:lineRule="auto"/>
            </w:pPr>
            <w:r>
              <w:rPr>
                <w:rFonts w:ascii="Arial" w:hAnsi="Arial" w:cs="Arial" w:eastAsia="Arial"/>
                <w:color w:val="5A6478"/>
                <w:sz w:val="18"/>
                <w:szCs w:val="18"/>
              </w:rPr>
              <w:t>SUKUK PORTFOLIO TOTAL VALUE</w:t>
            </w:r>
          </w:p>
        </w:tc>
        <w:tc>
          <w:tcPr>
            <w:tcW w:type="dxa" w:w="6860"/>
          </w:tcPr>
          <w:p>
            <w:pPr>
              <w:spacing w:before="0" w:after="0" w:line="276" w:lineRule="auto"/>
            </w:pPr>
            <w:r>
              <w:rPr>
                <w:rFonts w:ascii="Arial" w:hAnsi="Arial" w:cs="Arial" w:eastAsia="Arial"/>
                <w:b/>
                <w:bCs/>
                <w:color w:val="0E1E3A"/>
                <w:sz w:val="18"/>
                <w:szCs w:val="18"/>
              </w:rPr>
              <w:t>SAR 31,386,813</w:t>
            </w:r>
          </w:p>
        </w:tc>
      </w:tr>
      <w:tr>
        <w:tc>
          <w:tcPr>
            <w:tcW w:type="dxa" w:w="3118"/>
            <w:shd w:val="clear" w:color="auto" w:fill="F3F6FB"/>
          </w:tcPr>
          <w:p>
            <w:pPr>
              <w:spacing w:before="0" w:after="0" w:line="276" w:lineRule="auto"/>
            </w:pPr>
            <w:r>
              <w:rPr>
                <w:rFonts w:ascii="Arial" w:hAnsi="Arial" w:cs="Arial" w:eastAsia="Arial"/>
                <w:color w:val="5A6478"/>
                <w:sz w:val="18"/>
                <w:szCs w:val="18"/>
              </w:rPr>
              <w:t>INCOME FUNDS PORTFOLIO TOTAL VALUE</w:t>
            </w:r>
          </w:p>
        </w:tc>
        <w:tc>
          <w:tcPr>
            <w:tcW w:type="dxa" w:w="6860"/>
          </w:tcPr>
          <w:p>
            <w:pPr>
              <w:spacing w:before="0" w:after="0" w:line="276" w:lineRule="auto"/>
            </w:pPr>
            <w:r>
              <w:rPr>
                <w:rFonts w:ascii="Arial" w:hAnsi="Arial" w:cs="Arial" w:eastAsia="Arial"/>
                <w:b/>
                <w:bCs/>
                <w:color w:val="0E1E3A"/>
                <w:sz w:val="18"/>
                <w:szCs w:val="18"/>
              </w:rPr>
              <w:t>SAR 110,234,803</w:t>
            </w:r>
          </w:p>
        </w:tc>
      </w:tr>
      <w:tr>
        <w:tc>
          <w:tcPr>
            <w:tcW w:type="dxa" w:w="3118"/>
            <w:shd w:val="clear" w:color="auto" w:fill="F3F6FB"/>
          </w:tcPr>
          <w:p>
            <w:pPr>
              <w:spacing w:before="0" w:after="0" w:line="276" w:lineRule="auto"/>
            </w:pPr>
            <w:r>
              <w:rPr>
                <w:rFonts w:ascii="Arial" w:hAnsi="Arial" w:cs="Arial" w:eastAsia="Arial"/>
                <w:color w:val="5A6478"/>
                <w:sz w:val="18"/>
                <w:szCs w:val="18"/>
              </w:rPr>
              <w:t>TOTAL CASH AND CASH EQUIVALENT</w:t>
            </w:r>
          </w:p>
        </w:tc>
        <w:tc>
          <w:tcPr>
            <w:tcW w:type="dxa" w:w="6860"/>
          </w:tcPr>
          <w:p>
            <w:pPr>
              <w:spacing w:before="0" w:after="0" w:line="276" w:lineRule="auto"/>
            </w:pPr>
            <w:r>
              <w:rPr>
                <w:rFonts w:ascii="Arial" w:hAnsi="Arial" w:cs="Arial" w:eastAsia="Arial"/>
                <w:b/>
                <w:bCs/>
                <w:color w:val="0E1E3A"/>
                <w:sz w:val="18"/>
                <w:szCs w:val="18"/>
              </w:rPr>
              <w:t>SAR 24,726,323</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2" name="Picture 9039"/>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NET ASSET VALUE AND UNIT PRICE PERFORMANCE*</w:t>
      </w:r>
    </w:p>
    <w:p>
      <w:pPr>
        <w:spacing w:before="0" w:after="80" w:line="240" w:lineRule="auto"/>
        <w:jc w:val="center"/>
      </w:pPr>
      <w:r>
        <w:drawing>
          <wp:inline xmlns:a="http://schemas.openxmlformats.org/drawingml/2006/main" xmlns:pic="http://schemas.openxmlformats.org/drawingml/2006/picture">
            <wp:extent cx="6336000" cy="2968216"/>
            <wp:docPr id="13" name="Picture 9040"/>
            <wp:cNvGraphicFramePr>
              <a:graphicFrameLocks noChangeAspect="1"/>
            </wp:cNvGraphicFramePr>
            <a:graphic>
              <a:graphicData uri="http://schemas.openxmlformats.org/drawingml/2006/picture">
                <pic:pic>
                  <pic:nvPicPr>
                    <pic:cNvPr id="0" name="x5.j.jpg"/>
                    <pic:cNvPicPr/>
                  </pic:nvPicPr>
                  <pic:blipFill>
                    <a:blip r:embed="rId20"/>
                    <a:stretch>
                      <a:fillRect/>
                    </a:stretch>
                  </pic:blipFill>
                  <pic:spPr>
                    <a:xfrm>
                      <a:off x="0" y="0"/>
                      <a:ext cx="6336000" cy="2968216"/>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4" name="Picture 904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MARKET VALUE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AS AT THE LISTING DATE</w:t>
            </w:r>
          </w:p>
        </w:tc>
        <w:tc>
          <w:tcPr>
            <w:tcW w:type="dxa" w:w="6860"/>
          </w:tcPr>
          <w:p>
            <w:pPr>
              <w:spacing w:before="0" w:after="0" w:line="276" w:lineRule="auto"/>
            </w:pPr>
            <w:r>
              <w:rPr>
                <w:rFonts w:ascii="Arial" w:hAnsi="Arial" w:cs="Arial" w:eastAsia="Arial"/>
                <w:b/>
                <w:bCs/>
                <w:color w:val="0E1E3A"/>
                <w:sz w:val="18"/>
                <w:szCs w:val="18"/>
              </w:rPr>
              <w:t>SAR 472,814,700</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MARCH 2021</w:t>
            </w:r>
          </w:p>
        </w:tc>
        <w:tc>
          <w:tcPr>
            <w:tcW w:type="dxa" w:w="6860"/>
          </w:tcPr>
          <w:p>
            <w:pPr>
              <w:spacing w:before="0" w:after="0" w:line="276" w:lineRule="auto"/>
            </w:pPr>
            <w:r>
              <w:rPr>
                <w:rFonts w:ascii="Arial" w:hAnsi="Arial" w:cs="Arial" w:eastAsia="Arial"/>
                <w:b/>
                <w:bCs/>
                <w:color w:val="0E1E3A"/>
                <w:sz w:val="18"/>
                <w:szCs w:val="18"/>
              </w:rPr>
              <w:t>SAR 428,370,118</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2021</w:t>
            </w:r>
          </w:p>
        </w:tc>
        <w:tc>
          <w:tcPr>
            <w:tcW w:type="dxa" w:w="6860"/>
          </w:tcPr>
          <w:p>
            <w:pPr>
              <w:spacing w:before="0" w:after="0" w:line="276" w:lineRule="auto"/>
            </w:pPr>
            <w:r>
              <w:rPr>
                <w:rFonts w:ascii="Arial" w:hAnsi="Arial" w:cs="Arial" w:eastAsia="Arial"/>
                <w:b/>
                <w:bCs/>
                <w:color w:val="0E1E3A"/>
                <w:sz w:val="18"/>
                <w:szCs w:val="18"/>
              </w:rPr>
              <w:t>SAR 433,098,265</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SEPTEMBER 2021</w:t>
            </w:r>
          </w:p>
        </w:tc>
        <w:tc>
          <w:tcPr>
            <w:tcW w:type="dxa" w:w="6860"/>
          </w:tcPr>
          <w:p>
            <w:pPr>
              <w:spacing w:before="0" w:after="0" w:line="276" w:lineRule="auto"/>
            </w:pPr>
            <w:r>
              <w:rPr>
                <w:rFonts w:ascii="Arial" w:hAnsi="Arial" w:cs="Arial" w:eastAsia="Arial"/>
                <w:b/>
                <w:bCs/>
                <w:color w:val="0E1E3A"/>
                <w:sz w:val="18"/>
                <w:szCs w:val="18"/>
              </w:rPr>
              <w:t>SAR 427,897,304</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DECEMBER 2021</w:t>
            </w:r>
          </w:p>
        </w:tc>
        <w:tc>
          <w:tcPr>
            <w:tcW w:type="dxa" w:w="6860"/>
          </w:tcPr>
          <w:p>
            <w:pPr>
              <w:spacing w:before="0" w:after="0" w:line="276" w:lineRule="auto"/>
            </w:pPr>
            <w:r>
              <w:rPr>
                <w:rFonts w:ascii="Arial" w:hAnsi="Arial" w:cs="Arial" w:eastAsia="Arial"/>
                <w:b/>
                <w:bCs/>
                <w:color w:val="0E1E3A"/>
                <w:sz w:val="18"/>
                <w:szCs w:val="18"/>
              </w:rPr>
              <w:t>SAR 409,930,345</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MARCH 2022</w:t>
            </w:r>
          </w:p>
        </w:tc>
        <w:tc>
          <w:tcPr>
            <w:tcW w:type="dxa" w:w="6860"/>
          </w:tcPr>
          <w:p>
            <w:pPr>
              <w:spacing w:before="0" w:after="0" w:line="276" w:lineRule="auto"/>
            </w:pPr>
            <w:r>
              <w:rPr>
                <w:rFonts w:ascii="Arial" w:hAnsi="Arial" w:cs="Arial" w:eastAsia="Arial"/>
                <w:b/>
                <w:bCs/>
                <w:color w:val="0E1E3A"/>
                <w:sz w:val="18"/>
                <w:szCs w:val="18"/>
              </w:rPr>
              <w:t>SAR 402,838,124</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2022</w:t>
            </w:r>
          </w:p>
        </w:tc>
        <w:tc>
          <w:tcPr>
            <w:tcW w:type="dxa" w:w="6860"/>
          </w:tcPr>
          <w:p>
            <w:pPr>
              <w:spacing w:before="0" w:after="0" w:line="276" w:lineRule="auto"/>
            </w:pPr>
            <w:r>
              <w:rPr>
                <w:rFonts w:ascii="Arial" w:hAnsi="Arial" w:cs="Arial" w:eastAsia="Arial"/>
                <w:b/>
                <w:bCs/>
                <w:color w:val="0E1E3A"/>
                <w:sz w:val="18"/>
                <w:szCs w:val="18"/>
              </w:rPr>
              <w:t>SAR 342,317,843</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SEPTEMBER 2022</w:t>
            </w:r>
          </w:p>
        </w:tc>
        <w:tc>
          <w:tcPr>
            <w:tcW w:type="dxa" w:w="6860"/>
          </w:tcPr>
          <w:p>
            <w:pPr>
              <w:spacing w:before="0" w:after="0" w:line="276" w:lineRule="auto"/>
            </w:pPr>
            <w:r>
              <w:rPr>
                <w:rFonts w:ascii="Arial" w:hAnsi="Arial" w:cs="Arial" w:eastAsia="Arial"/>
                <w:b/>
                <w:bCs/>
                <w:color w:val="0E1E3A"/>
                <w:sz w:val="18"/>
                <w:szCs w:val="18"/>
              </w:rPr>
              <w:t>SAR 339,480,955</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DECEMBER 2022</w:t>
            </w:r>
          </w:p>
        </w:tc>
        <w:tc>
          <w:tcPr>
            <w:tcW w:type="dxa" w:w="6860"/>
          </w:tcPr>
          <w:p>
            <w:pPr>
              <w:spacing w:before="0" w:after="0" w:line="276" w:lineRule="auto"/>
            </w:pPr>
            <w:r>
              <w:rPr>
                <w:rFonts w:ascii="Arial" w:hAnsi="Arial" w:cs="Arial" w:eastAsia="Arial"/>
                <w:b/>
                <w:bCs/>
                <w:color w:val="0E1E3A"/>
                <w:sz w:val="18"/>
                <w:szCs w:val="18"/>
              </w:rPr>
              <w:t>SAR 281,324,747</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MARCH 2023</w:t>
            </w:r>
          </w:p>
        </w:tc>
        <w:tc>
          <w:tcPr>
            <w:tcW w:type="dxa" w:w="6860"/>
          </w:tcPr>
          <w:p>
            <w:pPr>
              <w:spacing w:before="0" w:after="0" w:line="276" w:lineRule="auto"/>
            </w:pPr>
            <w:r>
              <w:rPr>
                <w:rFonts w:ascii="Arial" w:hAnsi="Arial" w:cs="Arial" w:eastAsia="Arial"/>
                <w:b/>
                <w:bCs/>
                <w:color w:val="0E1E3A"/>
                <w:sz w:val="18"/>
                <w:szCs w:val="18"/>
              </w:rPr>
              <w:t>SAR 297,873,261</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2023</w:t>
            </w:r>
          </w:p>
        </w:tc>
        <w:tc>
          <w:tcPr>
            <w:tcW w:type="dxa" w:w="6860"/>
          </w:tcPr>
          <w:p>
            <w:pPr>
              <w:spacing w:before="0" w:after="0" w:line="276" w:lineRule="auto"/>
            </w:pPr>
            <w:r>
              <w:rPr>
                <w:rFonts w:ascii="Arial" w:hAnsi="Arial" w:cs="Arial" w:eastAsia="Arial"/>
                <w:b/>
                <w:bCs/>
                <w:color w:val="0E1E3A"/>
                <w:sz w:val="18"/>
                <w:szCs w:val="18"/>
              </w:rPr>
              <w:t>SAR 329,079,031</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SEPTEMBER 2023</w:t>
            </w:r>
          </w:p>
        </w:tc>
        <w:tc>
          <w:tcPr>
            <w:tcW w:type="dxa" w:w="6860"/>
          </w:tcPr>
          <w:p>
            <w:pPr>
              <w:spacing w:before="0" w:after="0" w:line="276" w:lineRule="auto"/>
            </w:pPr>
            <w:r>
              <w:rPr>
                <w:rFonts w:ascii="Arial" w:hAnsi="Arial" w:cs="Arial" w:eastAsia="Arial"/>
                <w:b/>
                <w:bCs/>
                <w:color w:val="0E1E3A"/>
                <w:sz w:val="18"/>
                <w:szCs w:val="18"/>
              </w:rPr>
              <w:t>SAR 329,551,846</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DECEMBER 2023</w:t>
            </w:r>
          </w:p>
        </w:tc>
        <w:tc>
          <w:tcPr>
            <w:tcW w:type="dxa" w:w="6860"/>
          </w:tcPr>
          <w:p>
            <w:pPr>
              <w:spacing w:before="0" w:after="0" w:line="276" w:lineRule="auto"/>
            </w:pPr>
            <w:r>
              <w:rPr>
                <w:rFonts w:ascii="Arial" w:hAnsi="Arial" w:cs="Arial" w:eastAsia="Arial"/>
                <w:b/>
                <w:bCs/>
                <w:color w:val="0E1E3A"/>
                <w:sz w:val="18"/>
                <w:szCs w:val="18"/>
              </w:rPr>
              <w:t>SAR 335,698,437</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MARCH 2024</w:t>
            </w:r>
          </w:p>
        </w:tc>
        <w:tc>
          <w:tcPr>
            <w:tcW w:type="dxa" w:w="6860"/>
          </w:tcPr>
          <w:p>
            <w:pPr>
              <w:spacing w:before="0" w:after="0" w:line="276" w:lineRule="auto"/>
            </w:pPr>
            <w:r>
              <w:rPr>
                <w:rFonts w:ascii="Arial" w:hAnsi="Arial" w:cs="Arial" w:eastAsia="Arial"/>
                <w:b/>
                <w:bCs/>
                <w:color w:val="0E1E3A"/>
                <w:sz w:val="18"/>
                <w:szCs w:val="18"/>
              </w:rPr>
              <w:t>SAR 320,568,367</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2024</w:t>
            </w:r>
          </w:p>
        </w:tc>
        <w:tc>
          <w:tcPr>
            <w:tcW w:type="dxa" w:w="6860"/>
          </w:tcPr>
          <w:p>
            <w:pPr>
              <w:spacing w:before="0" w:after="0" w:line="276" w:lineRule="auto"/>
            </w:pPr>
            <w:r>
              <w:rPr>
                <w:rFonts w:ascii="Arial" w:hAnsi="Arial" w:cs="Arial" w:eastAsia="Arial"/>
                <w:b/>
                <w:bCs/>
                <w:color w:val="0E1E3A"/>
                <w:sz w:val="18"/>
                <w:szCs w:val="18"/>
              </w:rPr>
              <w:t>SAR 326,714,958</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SEPTEMBER 2024</w:t>
            </w:r>
          </w:p>
        </w:tc>
        <w:tc>
          <w:tcPr>
            <w:tcW w:type="dxa" w:w="6860"/>
          </w:tcPr>
          <w:p>
            <w:pPr>
              <w:spacing w:before="0" w:after="0" w:line="276" w:lineRule="auto"/>
            </w:pPr>
            <w:r>
              <w:rPr>
                <w:rFonts w:ascii="Arial" w:hAnsi="Arial" w:cs="Arial" w:eastAsia="Arial"/>
                <w:b/>
                <w:bCs/>
                <w:color w:val="0E1E3A"/>
                <w:sz w:val="18"/>
                <w:szCs w:val="18"/>
              </w:rPr>
              <w:t>SAR 296,927,632</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DECEMBER 2024</w:t>
            </w:r>
          </w:p>
        </w:tc>
        <w:tc>
          <w:tcPr>
            <w:tcW w:type="dxa" w:w="6860"/>
          </w:tcPr>
          <w:p>
            <w:pPr>
              <w:spacing w:before="0" w:after="0" w:line="276" w:lineRule="auto"/>
            </w:pPr>
            <w:r>
              <w:rPr>
                <w:rFonts w:ascii="Arial" w:hAnsi="Arial" w:cs="Arial" w:eastAsia="Arial"/>
                <w:b/>
                <w:bCs/>
                <w:color w:val="0E1E3A"/>
                <w:sz w:val="18"/>
                <w:szCs w:val="18"/>
              </w:rPr>
              <w:t>SAR 305,438,296</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MARCH 2025</w:t>
            </w:r>
          </w:p>
        </w:tc>
        <w:tc>
          <w:tcPr>
            <w:tcW w:type="dxa" w:w="6860"/>
          </w:tcPr>
          <w:p>
            <w:pPr>
              <w:spacing w:before="0" w:after="0" w:line="276" w:lineRule="auto"/>
            </w:pPr>
            <w:r>
              <w:rPr>
                <w:rFonts w:ascii="Arial" w:hAnsi="Arial" w:cs="Arial" w:eastAsia="Arial"/>
                <w:b/>
                <w:bCs/>
                <w:color w:val="0E1E3A"/>
                <w:sz w:val="18"/>
                <w:szCs w:val="18"/>
              </w:rPr>
              <w:t>SAR 286,525,708</w:t>
            </w:r>
          </w:p>
        </w:tc>
      </w:tr>
    </w:tbl>
    <w:p>
      <w:pPr>
        <w:spacing w:before="0" w:after="40" w:line="300" w:lineRule="auto"/>
      </w:pPr>
    </w:p>
    <w:p>
      <w:pPr>
        <w:spacing w:before="0" w:after="80" w:line="312" w:lineRule="auto"/>
      </w:pPr>
      <w:r>
        <w:rPr>
          <w:rFonts w:ascii="Arial" w:hAnsi="Arial" w:cs="Arial" w:eastAsia="Arial"/>
          <w:color w:val="5A6478"/>
          <w:sz w:val="17"/>
          <w:szCs w:val="17"/>
        </w:rPr>
        <w:t>*Based on the Unit Price.</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5" name="Picture 904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UNITS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UNIT PRICE AS AT THE END OF Q1 (31 MARCH 2025)</w:t>
            </w:r>
          </w:p>
        </w:tc>
        <w:tc>
          <w:tcPr>
            <w:tcW w:type="dxa" w:w="6860"/>
          </w:tcPr>
          <w:p>
            <w:pPr>
              <w:spacing w:before="0" w:after="0" w:line="276" w:lineRule="auto"/>
            </w:pPr>
            <w:r>
              <w:rPr>
                <w:rFonts w:ascii="Arial" w:hAnsi="Arial" w:cs="Arial" w:eastAsia="Arial"/>
                <w:b/>
                <w:bCs/>
                <w:color w:val="0E1E3A"/>
                <w:sz w:val="18"/>
                <w:szCs w:val="18"/>
              </w:rPr>
              <w:t>SAR 6.06</w:t>
            </w:r>
          </w:p>
        </w:tc>
      </w:tr>
      <w:tr>
        <w:tc>
          <w:tcPr>
            <w:tcW w:type="dxa" w:w="3118"/>
            <w:shd w:val="clear" w:color="auto" w:fill="F3F6FB"/>
          </w:tcPr>
          <w:p>
            <w:pPr>
              <w:spacing w:before="0" w:after="0" w:line="276" w:lineRule="auto"/>
            </w:pPr>
            <w:r>
              <w:rPr>
                <w:rFonts w:ascii="Arial" w:hAnsi="Arial" w:cs="Arial" w:eastAsia="Arial"/>
                <w:color w:val="5A6478"/>
                <w:sz w:val="18"/>
                <w:szCs w:val="18"/>
              </w:rPr>
              <w:t>CHANGE IN UNIT PRICE COMPARED TO THE PREVIOUS QUARTER (FROM 31 DECEMBER 2024 TO 27 MARCH 2025)</w:t>
            </w:r>
          </w:p>
        </w:tc>
        <w:tc>
          <w:tcPr>
            <w:tcW w:type="dxa" w:w="6860"/>
          </w:tcPr>
          <w:p>
            <w:pPr>
              <w:spacing w:before="0" w:after="0" w:line="276" w:lineRule="auto"/>
            </w:pPr>
            <w:r>
              <w:rPr>
                <w:rFonts w:ascii="Arial" w:hAnsi="Arial" w:cs="Arial" w:eastAsia="Arial"/>
                <w:b/>
                <w:bCs/>
                <w:color w:val="0E1E3A"/>
                <w:sz w:val="18"/>
                <w:szCs w:val="18"/>
              </w:rPr>
              <w:t>-6.19%</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LISTING DATE (FROM THE LISTING DATE TO END Q1 2025)</w:t>
            </w:r>
          </w:p>
        </w:tc>
        <w:tc>
          <w:tcPr>
            <w:tcW w:type="dxa" w:w="6860"/>
          </w:tcPr>
          <w:p>
            <w:pPr>
              <w:spacing w:before="0" w:after="0" w:line="276" w:lineRule="auto"/>
            </w:pPr>
            <w:r>
              <w:rPr>
                <w:rFonts w:ascii="Arial" w:hAnsi="Arial" w:cs="Arial" w:eastAsia="Arial"/>
                <w:b/>
                <w:bCs/>
                <w:color w:val="0E1E3A"/>
                <w:sz w:val="18"/>
                <w:szCs w:val="18"/>
              </w:rPr>
              <w:t>-39.40%</w:t>
            </w:r>
          </w:p>
        </w:tc>
      </w:tr>
      <w:tr>
        <w:tc>
          <w:tcPr>
            <w:tcW w:type="dxa" w:w="3118"/>
            <w:shd w:val="clear" w:color="auto" w:fill="F3F6FB"/>
          </w:tcPr>
          <w:p>
            <w:pPr>
              <w:spacing w:before="0" w:after="0" w:line="276" w:lineRule="auto"/>
            </w:pPr>
            <w:r>
              <w:rPr>
                <w:rFonts w:ascii="Arial" w:hAnsi="Arial" w:cs="Arial" w:eastAsia="Arial"/>
                <w:color w:val="5A6478"/>
                <w:sz w:val="18"/>
                <w:szCs w:val="18"/>
              </w:rPr>
              <w:t>52-WEEK HIGH</w:t>
            </w:r>
          </w:p>
        </w:tc>
        <w:tc>
          <w:tcPr>
            <w:tcW w:type="dxa" w:w="6860"/>
          </w:tcPr>
          <w:p>
            <w:pPr>
              <w:spacing w:before="0" w:after="0" w:line="276" w:lineRule="auto"/>
            </w:pPr>
            <w:r>
              <w:rPr>
                <w:rFonts w:ascii="Arial" w:hAnsi="Arial" w:cs="Arial" w:eastAsia="Arial"/>
                <w:b/>
                <w:bCs/>
                <w:color w:val="0E1E3A"/>
                <w:sz w:val="18"/>
                <w:szCs w:val="18"/>
              </w:rPr>
              <w:t>SAR 6.95</w:t>
            </w:r>
          </w:p>
        </w:tc>
      </w:tr>
      <w:tr>
        <w:tc>
          <w:tcPr>
            <w:tcW w:type="dxa" w:w="3118"/>
            <w:shd w:val="clear" w:color="auto" w:fill="F3F6FB"/>
          </w:tcPr>
          <w:p>
            <w:pPr>
              <w:spacing w:before="0" w:after="0" w:line="276" w:lineRule="auto"/>
            </w:pPr>
            <w:r>
              <w:rPr>
                <w:rFonts w:ascii="Arial" w:hAnsi="Arial" w:cs="Arial" w:eastAsia="Arial"/>
                <w:color w:val="5A6478"/>
                <w:sz w:val="18"/>
                <w:szCs w:val="18"/>
              </w:rPr>
              <w:t>52-WEEK LOW</w:t>
            </w:r>
          </w:p>
        </w:tc>
        <w:tc>
          <w:tcPr>
            <w:tcW w:type="dxa" w:w="6860"/>
          </w:tcPr>
          <w:p>
            <w:pPr>
              <w:spacing w:before="0" w:after="0" w:line="276" w:lineRule="auto"/>
            </w:pPr>
            <w:r>
              <w:rPr>
                <w:rFonts w:ascii="Arial" w:hAnsi="Arial" w:cs="Arial" w:eastAsia="Arial"/>
                <w:b/>
                <w:bCs/>
                <w:color w:val="0E1E3A"/>
                <w:sz w:val="18"/>
                <w:szCs w:val="18"/>
              </w:rPr>
              <w:t>SAR 6.02</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OUTSTANDING UNITS</w:t>
            </w:r>
          </w:p>
        </w:tc>
        <w:tc>
          <w:tcPr>
            <w:tcW w:type="dxa" w:w="6860"/>
          </w:tcPr>
          <w:p>
            <w:pPr>
              <w:spacing w:before="0" w:after="0" w:line="276" w:lineRule="auto"/>
            </w:pPr>
            <w:r>
              <w:rPr>
                <w:rFonts w:ascii="Arial" w:hAnsi="Arial" w:cs="Arial" w:eastAsia="Arial"/>
                <w:b/>
                <w:bCs/>
                <w:color w:val="0E1E3A"/>
                <w:sz w:val="18"/>
                <w:szCs w:val="18"/>
              </w:rPr>
              <w:t>47,281,470 Units</w:t>
            </w:r>
          </w:p>
        </w:tc>
      </w:tr>
      <w:tr>
        <w:tc>
          <w:tcPr>
            <w:tcW w:type="dxa" w:w="3118"/>
            <w:shd w:val="clear" w:color="auto" w:fill="F3F6FB"/>
          </w:tcPr>
          <w:p>
            <w:pPr>
              <w:spacing w:before="0" w:after="0" w:line="276" w:lineRule="auto"/>
            </w:pPr>
            <w:r>
              <w:rPr>
                <w:rFonts w:ascii="Arial" w:hAnsi="Arial" w:cs="Arial" w:eastAsia="Arial"/>
                <w:color w:val="5A6478"/>
                <w:sz w:val="18"/>
                <w:szCs w:val="18"/>
              </w:rPr>
              <w:t>P/E RATIO</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DUAL UNIT PRICE OF MONEY MARKET FUNDS AND FIXED INCOME DEBT FUNDS</w:t>
            </w:r>
          </w:p>
        </w:tc>
        <w:tc>
          <w:tcPr>
            <w:tcW w:type="dxa" w:w="6860"/>
          </w:tcPr>
          <w:p>
            <w:pPr>
              <w:spacing w:before="0" w:after="0" w:line="276" w:lineRule="auto"/>
            </w:pPr>
            <w:r>
              <w:rPr>
                <w:rFonts w:ascii="Arial" w:hAnsi="Arial" w:cs="Arial" w:eastAsia="Arial"/>
                <w:b/>
                <w:bCs/>
                <w:color w:val="0E1E3A"/>
                <w:sz w:val="18"/>
                <w:szCs w:val="18"/>
              </w:rPr>
              <w:t>N/A</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6" name="Picture 9043"/>
            <wp:cNvGraphicFramePr>
              <a:graphicFrameLocks noChangeAspect="1"/>
            </wp:cNvGraphicFramePr>
            <a:graphic>
              <a:graphicData uri="http://schemas.openxmlformats.org/drawingml/2006/picture">
                <pic:pic>
                  <pic:nvPicPr>
                    <pic:cNvPr id="0" name="ico_737e94dc9d8d67dbf235ae564951a5f7.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DIVIDEND DISTRIBUTION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DIVIDEND DISTRIBUTION POLICY</w:t>
            </w:r>
          </w:p>
        </w:tc>
        <w:tc>
          <w:tcPr>
            <w:tcW w:type="dxa" w:w="6860"/>
          </w:tcPr>
          <w:p>
            <w:pPr>
              <w:spacing w:before="0" w:after="0" w:line="276" w:lineRule="auto"/>
            </w:pPr>
            <w:r>
              <w:rPr>
                <w:rFonts w:ascii="Arial" w:hAnsi="Arial" w:cs="Arial" w:eastAsia="Arial"/>
                <w:b/>
                <w:bCs/>
                <w:color w:val="0E1E3A"/>
                <w:sz w:val="18"/>
                <w:szCs w:val="18"/>
              </w:rPr>
              <w:t>The Fund Manager will distribute 100% of the semi-annual profits received from the returns on the Fund's investments after deducting the expenses from the Unitholders twice a year, provided distributions are made during the months of August and February annually.</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DIVIDENDS PAID IN THE REPORTING QUARTER*</w:t>
            </w:r>
          </w:p>
        </w:tc>
        <w:tc>
          <w:tcPr>
            <w:tcW w:type="dxa" w:w="6860"/>
          </w:tcPr>
          <w:p>
            <w:pPr>
              <w:spacing w:before="0" w:after="0" w:line="276" w:lineRule="auto"/>
            </w:pPr>
            <w:r>
              <w:rPr>
                <w:rFonts w:ascii="Arial" w:hAnsi="Arial" w:cs="Arial" w:eastAsia="Arial"/>
                <w:b/>
                <w:bCs/>
                <w:color w:val="0E1E3A"/>
                <w:sz w:val="18"/>
                <w:szCs w:val="18"/>
              </w:rPr>
              <w:t>SAR 10,874,738.10</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DIVIDENDS DISTRIBUTED FOR THE LAST SEMI-ANNUAL PERIOD**</w:t>
            </w:r>
          </w:p>
        </w:tc>
        <w:tc>
          <w:tcPr>
            <w:tcW w:type="dxa" w:w="6860"/>
          </w:tcPr>
          <w:p>
            <w:pPr>
              <w:spacing w:before="0" w:after="0" w:line="276" w:lineRule="auto"/>
            </w:pPr>
            <w:r>
              <w:rPr>
                <w:rFonts w:ascii="Arial" w:hAnsi="Arial" w:cs="Arial" w:eastAsia="Arial"/>
                <w:b/>
                <w:bCs/>
                <w:color w:val="0E1E3A"/>
                <w:sz w:val="18"/>
                <w:szCs w:val="18"/>
              </w:rPr>
              <w:t>SAR 10,874,738.10</w:t>
            </w:r>
          </w:p>
        </w:tc>
      </w:tr>
      <w:tr>
        <w:tc>
          <w:tcPr>
            <w:tcW w:type="dxa" w:w="3118"/>
            <w:shd w:val="clear" w:color="auto" w:fill="F3F6FB"/>
          </w:tcPr>
          <w:p>
            <w:pPr>
              <w:spacing w:before="0" w:after="0" w:line="276" w:lineRule="auto"/>
            </w:pPr>
            <w:r>
              <w:rPr>
                <w:rFonts w:ascii="Arial" w:hAnsi="Arial" w:cs="Arial" w:eastAsia="Arial"/>
                <w:color w:val="5A6478"/>
                <w:sz w:val="18"/>
                <w:szCs w:val="18"/>
              </w:rPr>
              <w:t>DIVIDENDS DISTRIBUTED FOR THE LAST SEMI-ANNUAL PERIOD PER UNIT</w:t>
            </w:r>
          </w:p>
        </w:tc>
        <w:tc>
          <w:tcPr>
            <w:tcW w:type="dxa" w:w="6860"/>
          </w:tcPr>
          <w:p>
            <w:pPr>
              <w:spacing w:before="0" w:after="0" w:line="276" w:lineRule="auto"/>
            </w:pPr>
            <w:r>
              <w:rPr>
                <w:rFonts w:ascii="Arial" w:hAnsi="Arial" w:cs="Arial" w:eastAsia="Arial"/>
                <w:b/>
                <w:bCs/>
                <w:color w:val="0E1E3A"/>
                <w:sz w:val="18"/>
                <w:szCs w:val="18"/>
              </w:rPr>
              <w:t>SAR 0.23</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DIVIDENDS DISTRIBUTED IN THE REPORTING QUARTER TO THE INITIAL UNIT PRICE</w:t>
            </w:r>
          </w:p>
        </w:tc>
        <w:tc>
          <w:tcPr>
            <w:tcW w:type="dxa" w:w="6860"/>
          </w:tcPr>
          <w:p>
            <w:pPr>
              <w:spacing w:before="0" w:after="0" w:line="276" w:lineRule="auto"/>
            </w:pPr>
            <w:r>
              <w:rPr>
                <w:rFonts w:ascii="Arial" w:hAnsi="Arial" w:cs="Arial" w:eastAsia="Arial"/>
                <w:b/>
                <w:bCs/>
                <w:color w:val="0E1E3A"/>
                <w:sz w:val="18"/>
                <w:szCs w:val="18"/>
              </w:rPr>
              <w:t>2.30%</w:t>
            </w:r>
          </w:p>
        </w:tc>
      </w:tr>
      <w:tr>
        <w:tc>
          <w:tcPr>
            <w:tcW w:type="dxa" w:w="3118"/>
            <w:shd w:val="clear" w:color="auto" w:fill="F3F6FB"/>
          </w:tcPr>
          <w:p>
            <w:pPr>
              <w:spacing w:before="0" w:after="0" w:line="276" w:lineRule="auto"/>
            </w:pPr>
            <w:r>
              <w:rPr>
                <w:rFonts w:ascii="Arial" w:hAnsi="Arial" w:cs="Arial" w:eastAsia="Arial"/>
                <w:color w:val="5A6478"/>
                <w:sz w:val="18"/>
                <w:szCs w:val="18"/>
              </w:rPr>
              <w:t>DIVIDENDS DISTRIBUTED ON UNIT PRICE</w:t>
            </w:r>
          </w:p>
        </w:tc>
        <w:tc>
          <w:tcPr>
            <w:tcW w:type="dxa" w:w="6860"/>
          </w:tcPr>
          <w:p>
            <w:pPr>
              <w:spacing w:before="0" w:after="0" w:line="276" w:lineRule="auto"/>
            </w:pPr>
            <w:r>
              <w:rPr>
                <w:rFonts w:ascii="Arial" w:hAnsi="Arial" w:cs="Arial" w:eastAsia="Arial"/>
                <w:b/>
                <w:bCs/>
                <w:color w:val="0E1E3A"/>
                <w:sz w:val="18"/>
                <w:szCs w:val="18"/>
              </w:rPr>
              <w:t>3.80%</w:t>
            </w:r>
          </w:p>
        </w:tc>
      </w:tr>
      <w:tr>
        <w:tc>
          <w:tcPr>
            <w:tcW w:type="dxa" w:w="3118"/>
            <w:shd w:val="clear" w:color="auto" w:fill="F3F6FB"/>
          </w:tcPr>
          <w:p>
            <w:pPr>
              <w:spacing w:before="0" w:after="0" w:line="276" w:lineRule="auto"/>
            </w:pPr>
            <w:r>
              <w:rPr>
                <w:rFonts w:ascii="Arial" w:hAnsi="Arial" w:cs="Arial" w:eastAsia="Arial"/>
                <w:color w:val="5A6478"/>
                <w:sz w:val="18"/>
                <w:szCs w:val="18"/>
              </w:rPr>
              <w:t>TOTAL INCOME FOR THE REPORTING QUARTER*</w:t>
            </w:r>
          </w:p>
        </w:tc>
        <w:tc>
          <w:tcPr>
            <w:tcW w:type="dxa" w:w="6860"/>
          </w:tcPr>
          <w:p>
            <w:pPr>
              <w:spacing w:before="0" w:after="0" w:line="276" w:lineRule="auto"/>
            </w:pPr>
            <w:r>
              <w:rPr>
                <w:rFonts w:ascii="Arial" w:hAnsi="Arial" w:cs="Arial" w:eastAsia="Arial"/>
                <w:b/>
                <w:bCs/>
                <w:color w:val="0E1E3A"/>
                <w:sz w:val="18"/>
                <w:szCs w:val="18"/>
              </w:rPr>
              <w:t>SAR 8,202,213</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INCOME FOR THE REPORTING QUARTER TO THE UNIT PRICE (27 MARCH 2025)</w:t>
            </w:r>
          </w:p>
        </w:tc>
        <w:tc>
          <w:tcPr>
            <w:tcW w:type="dxa" w:w="6860"/>
          </w:tcPr>
          <w:p>
            <w:pPr>
              <w:spacing w:before="0" w:after="0" w:line="276" w:lineRule="auto"/>
            </w:pPr>
            <w:r>
              <w:rPr>
                <w:rFonts w:ascii="Arial" w:hAnsi="Arial" w:cs="Arial" w:eastAsia="Arial"/>
                <w:b/>
                <w:bCs/>
                <w:color w:val="0E1E3A"/>
                <w:sz w:val="18"/>
                <w:szCs w:val="18"/>
              </w:rPr>
              <w:t>2.86%</w:t>
            </w:r>
          </w:p>
        </w:tc>
      </w:tr>
    </w:tbl>
    <w:p>
      <w:pPr>
        <w:spacing w:before="0" w:after="40" w:line="300" w:lineRule="auto"/>
      </w:pPr>
    </w:p>
    <w:p>
      <w:pPr>
        <w:spacing w:before="0" w:after="80" w:line="312" w:lineRule="auto"/>
      </w:pPr>
      <w:r>
        <w:rPr>
          <w:rFonts w:ascii="Arial" w:hAnsi="Arial" w:cs="Arial" w:eastAsia="Arial"/>
          <w:color w:val="5A6478"/>
          <w:sz w:val="17"/>
          <w:szCs w:val="17"/>
        </w:rPr>
        <w:t>* From 1 January 2025 to 31 March 2025.</w:t>
      </w:r>
      <w:r>
        <w:br/>
      </w:r>
      <w:r>
        <w:rPr>
          <w:rFonts w:ascii="Arial" w:hAnsi="Arial" w:cs="Arial" w:eastAsia="Arial"/>
          <w:color w:val="5A6478"/>
          <w:sz w:val="17"/>
          <w:szCs w:val="17"/>
        </w:rPr>
        <w:t>** From 1 July 2024 to 31 December 2024 (Distributed Dividends paid on 19 February 2025).</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7" name="Picture 9044"/>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PERFORMANCE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BENCHMARK</w:t>
            </w:r>
          </w:p>
        </w:tc>
        <w:tc>
          <w:tcPr>
            <w:tcW w:type="dxa" w:w="6860"/>
          </w:tcPr>
          <w:p>
            <w:pPr>
              <w:spacing w:before="0" w:after="0" w:line="276" w:lineRule="auto"/>
            </w:pPr>
            <w:r>
              <w:rPr>
                <w:rFonts w:ascii="Arial" w:hAnsi="Arial" w:cs="Arial" w:eastAsia="Arial"/>
                <w:b/>
                <w:bCs/>
                <w:color w:val="0E1E3A"/>
                <w:sz w:val="18"/>
                <w:szCs w:val="18"/>
              </w:rPr>
              <w:t>12 months Term SOFR + 300 bps*</w:t>
            </w:r>
          </w:p>
        </w:tc>
      </w:tr>
      <w:tr>
        <w:tc>
          <w:tcPr>
            <w:tcW w:type="dxa" w:w="3118"/>
            <w:shd w:val="clear" w:color="auto" w:fill="F3F6FB"/>
          </w:tcPr>
          <w:p>
            <w:pPr>
              <w:spacing w:before="0" w:after="0" w:line="276" w:lineRule="auto"/>
            </w:pPr>
            <w:r>
              <w:rPr>
                <w:rFonts w:ascii="Arial" w:hAnsi="Arial" w:cs="Arial" w:eastAsia="Arial"/>
                <w:color w:val="5A6478"/>
                <w:sz w:val="18"/>
                <w:szCs w:val="18"/>
              </w:rPr>
              <w:t>INITIAL UNIT PRICE (AT THE INITIAL OFFERING)</w:t>
            </w:r>
          </w:p>
        </w:tc>
        <w:tc>
          <w:tcPr>
            <w:tcW w:type="dxa" w:w="6860"/>
          </w:tcPr>
          <w:p>
            <w:pPr>
              <w:spacing w:before="0" w:after="0" w:line="276" w:lineRule="auto"/>
            </w:pPr>
            <w:r>
              <w:rPr>
                <w:rFonts w:ascii="Arial" w:hAnsi="Arial" w:cs="Arial" w:eastAsia="Arial"/>
                <w:b/>
                <w:bCs/>
                <w:color w:val="0E1E3A"/>
                <w:sz w:val="18"/>
                <w:szCs w:val="18"/>
              </w:rPr>
              <w:t>SAR 10</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PREVIOUS PERIOD**</w:t>
            </w:r>
          </w:p>
        </w:tc>
        <w:tc>
          <w:tcPr>
            <w:tcW w:type="dxa" w:w="6860"/>
          </w:tcPr>
          <w:p>
            <w:pPr>
              <w:spacing w:before="0" w:after="0" w:line="276" w:lineRule="auto"/>
            </w:pPr>
            <w:r>
              <w:rPr>
                <w:rFonts w:ascii="Arial" w:hAnsi="Arial" w:cs="Arial" w:eastAsia="Arial"/>
                <w:b/>
                <w:bCs/>
                <w:color w:val="0E1E3A"/>
                <w:sz w:val="18"/>
                <w:szCs w:val="18"/>
              </w:rPr>
              <w:t>-6.19%</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DATE OF INCEPTION***</w:t>
            </w:r>
          </w:p>
        </w:tc>
        <w:tc>
          <w:tcPr>
            <w:tcW w:type="dxa" w:w="6860"/>
          </w:tcPr>
          <w:p>
            <w:pPr>
              <w:spacing w:before="0" w:after="0" w:line="276" w:lineRule="auto"/>
            </w:pPr>
            <w:r>
              <w:rPr>
                <w:rFonts w:ascii="Arial" w:hAnsi="Arial" w:cs="Arial" w:eastAsia="Arial"/>
                <w:b/>
                <w:bCs/>
                <w:color w:val="0E1E3A"/>
                <w:sz w:val="18"/>
                <w:szCs w:val="18"/>
              </w:rPr>
              <w:t>-39.40%</w:t>
            </w:r>
          </w:p>
        </w:tc>
      </w:tr>
      <w:tr>
        <w:tc>
          <w:tcPr>
            <w:tcW w:type="dxa" w:w="3118"/>
            <w:shd w:val="clear" w:color="auto" w:fill="F3F6FB"/>
          </w:tcPr>
          <w:p>
            <w:pPr>
              <w:spacing w:before="0" w:after="0" w:line="276" w:lineRule="auto"/>
            </w:pPr>
            <w:r>
              <w:rPr>
                <w:rFonts w:ascii="Arial" w:hAnsi="Arial" w:cs="Arial" w:eastAsia="Arial"/>
                <w:color w:val="5A6478"/>
                <w:sz w:val="18"/>
                <w:szCs w:val="18"/>
              </w:rPr>
              <w:t>TOTAL RETURN SINCE THE DATE OF INCEPTION****</w:t>
            </w:r>
          </w:p>
        </w:tc>
        <w:tc>
          <w:tcPr>
            <w:tcW w:type="dxa" w:w="6860"/>
          </w:tcPr>
          <w:p>
            <w:pPr>
              <w:spacing w:before="0" w:after="0" w:line="276" w:lineRule="auto"/>
            </w:pPr>
            <w:r>
              <w:rPr>
                <w:rFonts w:ascii="Arial" w:hAnsi="Arial" w:cs="Arial" w:eastAsia="Arial"/>
                <w:b/>
                <w:bCs/>
                <w:color w:val="0E1E3A"/>
                <w:sz w:val="18"/>
                <w:szCs w:val="18"/>
              </w:rPr>
              <w:t>-19.03%</w:t>
            </w:r>
          </w:p>
        </w:tc>
      </w:tr>
    </w:tbl>
    <w:p>
      <w:pPr>
        <w:spacing w:before="0" w:after="40" w:line="300" w:lineRule="auto"/>
      </w:pPr>
    </w:p>
    <w:p>
      <w:pPr>
        <w:spacing w:before="0" w:after="80" w:line="312" w:lineRule="auto"/>
      </w:pPr>
      <w:r>
        <w:rPr>
          <w:rFonts w:ascii="Arial" w:hAnsi="Arial" w:cs="Arial" w:eastAsia="Arial"/>
          <w:color w:val="5A6478"/>
          <w:sz w:val="17"/>
          <w:szCs w:val="17"/>
        </w:rPr>
        <w:t>* On 16 May 2023, the Fund has changed Its benchmark from the London Interbank Offered Rate (LIBOR) 12 months + 300 basis points to the Secured Overnight Financing Rate (Term</w:t>
      </w:r>
      <w:r>
        <w:br/>
      </w:r>
      <w:r>
        <w:rPr>
          <w:rFonts w:ascii="Arial" w:hAnsi="Arial" w:cs="Arial" w:eastAsia="Arial"/>
          <w:color w:val="5A6478"/>
          <w:sz w:val="17"/>
          <w:szCs w:val="17"/>
        </w:rPr>
        <w:t>SOFR) 12 months + 300 basis points.</w:t>
      </w:r>
      <w:r>
        <w:br/>
      </w:r>
      <w:r>
        <w:rPr>
          <w:rFonts w:ascii="Arial" w:hAnsi="Arial" w:cs="Arial" w:eastAsia="Arial"/>
          <w:color w:val="5A6478"/>
          <w:sz w:val="17"/>
          <w:szCs w:val="17"/>
        </w:rPr>
        <w:t>** Unit Price as at 31 December 2024 = SAR 6.46.</w:t>
      </w:r>
      <w:r>
        <w:br/>
      </w:r>
      <w:r>
        <w:rPr>
          <w:rFonts w:ascii="Arial" w:hAnsi="Arial" w:cs="Arial" w:eastAsia="Arial"/>
          <w:color w:val="5A6478"/>
          <w:sz w:val="17"/>
          <w:szCs w:val="17"/>
        </w:rPr>
        <w:t>*** From the Fund’s Date of Inception to end Q1 2025.</w:t>
      </w:r>
      <w:r>
        <w:br/>
      </w:r>
      <w:r>
        <w:rPr>
          <w:rFonts w:ascii="Arial" w:hAnsi="Arial" w:cs="Arial" w:eastAsia="Arial"/>
          <w:color w:val="5A6478"/>
          <w:sz w:val="17"/>
          <w:szCs w:val="17"/>
        </w:rPr>
        <w:t>**** Total Return = Unit Price Performance + Total Dividend Distributions (if any).</w:t>
      </w:r>
      <w:r>
        <w:br/>
      </w:r>
      <w:r>
        <w:rPr>
          <w:rFonts w:ascii="Arial" w:hAnsi="Arial" w:cs="Arial" w:eastAsia="Arial"/>
          <w:color w:val="5A6478"/>
          <w:sz w:val="17"/>
          <w:szCs w:val="17"/>
        </w:rPr>
        <w:t>Note: It should be noted that the Unit Price on the Exchange may increase or decrease based on market factors.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8" name="Picture 904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DESCRIPTION OF THE FUND’S BENCHMARK</w:t>
      </w:r>
    </w:p>
    <w:p>
      <w:pPr>
        <w:spacing w:before="0" w:after="80" w:line="312" w:lineRule="auto"/>
      </w:pPr>
      <w:r>
        <w:rPr>
          <w:rFonts w:ascii="Arial" w:hAnsi="Arial" w:cs="Arial" w:eastAsia="Arial"/>
          <w:color w:val="0E1E3A"/>
          <w:sz w:val="20"/>
          <w:szCs w:val="20"/>
        </w:rPr>
        <w:t>The Fund’s Benchmark is 12 months Term SOFR plus 300 bps.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9" name="Picture 9046"/>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ASSESSMENT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spacing w:before="0" w:after="0" w:line="264" w:lineRule="auto"/>
            </w:pPr>
          </w:p>
        </w:tc>
        <w:tc>
          <w:tcPr>
            <w:tcW w:type="dxa" w:w="3326"/>
            <w:shd w:val="clear" w:color="auto" w:fill="12284B"/>
          </w:tcPr>
          <w:p>
            <w:pPr>
              <w:spacing w:before="0" w:after="0" w:line="264" w:lineRule="auto"/>
            </w:pPr>
            <w:r>
              <w:rPr>
                <w:rFonts w:ascii="Arial" w:hAnsi="Arial" w:cs="Arial" w:eastAsia="Arial"/>
                <w:b/>
                <w:bCs/>
                <w:color w:val="FFFFFF"/>
                <w:sz w:val="17"/>
                <w:szCs w:val="17"/>
              </w:rPr>
              <w:t>ALKHABEER INCOME FUND</w:t>
            </w:r>
          </w:p>
        </w:tc>
        <w:tc>
          <w:tcPr>
            <w:tcW w:type="dxa" w:w="3326"/>
            <w:shd w:val="clear" w:color="auto" w:fill="12284B"/>
          </w:tcPr>
          <w:p>
            <w:pPr>
              <w:spacing w:before="0" w:after="0" w:line="264" w:lineRule="auto"/>
            </w:pPr>
            <w:r>
              <w:rPr>
                <w:rFonts w:ascii="Arial" w:hAnsi="Arial" w:cs="Arial" w:eastAsia="Arial"/>
                <w:b/>
                <w:bCs/>
                <w:color w:val="FFFFFF"/>
                <w:sz w:val="17"/>
                <w:szCs w:val="17"/>
              </w:rPr>
              <w:t>12M TERM SOFR + 300 BPS*</w:t>
            </w:r>
          </w:p>
        </w:tc>
      </w:tr>
      <w:tr>
        <w:tc>
          <w:tcPr>
            <w:tcW w:type="dxa" w:w="3326"/>
          </w:tcPr>
          <w:p>
            <w:pPr>
              <w:spacing w:before="0" w:after="0" w:line="264" w:lineRule="auto"/>
            </w:pPr>
            <w:r>
              <w:rPr>
                <w:rFonts w:ascii="Arial" w:hAnsi="Arial" w:cs="Arial" w:eastAsia="Arial"/>
                <w:color w:val="0E1E3A"/>
                <w:sz w:val="17"/>
                <w:szCs w:val="17"/>
              </w:rPr>
              <w:t>NET ASSET VALUE PER UNIT AS AT THE BEGINNING OF THE PERIOD</w:t>
            </w:r>
          </w:p>
        </w:tc>
        <w:tc>
          <w:tcPr>
            <w:tcW w:type="dxa" w:w="3326"/>
          </w:tcPr>
          <w:p>
            <w:pPr>
              <w:spacing w:before="0" w:after="0" w:line="264" w:lineRule="auto"/>
            </w:pPr>
            <w:r>
              <w:rPr>
                <w:rFonts w:ascii="Arial" w:hAnsi="Arial" w:cs="Arial" w:eastAsia="Arial"/>
                <w:color w:val="0E1E3A"/>
                <w:sz w:val="17"/>
                <w:szCs w:val="17"/>
              </w:rPr>
              <w:t>9.6100</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NET ASSET VALUE PER UNIT AS AT THE END OF THE PERIOD</w:t>
            </w:r>
          </w:p>
        </w:tc>
        <w:tc>
          <w:tcPr>
            <w:tcW w:type="dxa" w:w="3326"/>
          </w:tcPr>
          <w:p>
            <w:pPr>
              <w:spacing w:before="0" w:after="0" w:line="264" w:lineRule="auto"/>
            </w:pPr>
            <w:r>
              <w:rPr>
                <w:rFonts w:ascii="Arial" w:hAnsi="Arial" w:cs="Arial" w:eastAsia="Arial"/>
                <w:color w:val="0E1E3A"/>
                <w:sz w:val="17"/>
                <w:szCs w:val="17"/>
              </w:rPr>
              <w:t>9.5605</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UNIT PERFORMANCE</w:t>
            </w:r>
          </w:p>
        </w:tc>
        <w:tc>
          <w:tcPr>
            <w:tcW w:type="dxa" w:w="3326"/>
          </w:tcPr>
          <w:p>
            <w:pPr>
              <w:spacing w:before="0" w:after="0" w:line="264" w:lineRule="auto"/>
            </w:pPr>
            <w:r>
              <w:rPr>
                <w:rFonts w:ascii="Arial" w:hAnsi="Arial" w:cs="Arial" w:eastAsia="Arial"/>
                <w:color w:val="0E1E3A"/>
                <w:sz w:val="17"/>
                <w:szCs w:val="17"/>
              </w:rPr>
              <w:t>-0.52%</w:t>
            </w:r>
          </w:p>
        </w:tc>
        <w:tc>
          <w:tcPr>
            <w:tcW w:type="dxa" w:w="3326"/>
          </w:tcPr>
          <w:p>
            <w:pPr>
              <w:spacing w:before="0" w:after="0" w:line="264" w:lineRule="auto"/>
            </w:pPr>
            <w:r>
              <w:rPr>
                <w:rFonts w:ascii="Arial" w:hAnsi="Arial" w:cs="Arial" w:eastAsia="Arial"/>
                <w:color w:val="0E1E3A"/>
                <w:sz w:val="17"/>
                <w:szCs w:val="17"/>
              </w:rPr>
              <w:t>1.71%***</w:t>
            </w:r>
          </w:p>
        </w:tc>
      </w:tr>
    </w:tbl>
    <w:p>
      <w:pPr>
        <w:spacing w:before="0" w:after="40" w:line="300" w:lineRule="auto"/>
      </w:pPr>
    </w:p>
    <w:p>
      <w:pPr>
        <w:spacing w:before="0" w:after="80" w:line="312" w:lineRule="auto"/>
      </w:pPr>
      <w:r>
        <w:rPr>
          <w:rFonts w:ascii="Arial" w:hAnsi="Arial" w:cs="Arial" w:eastAsia="Arial"/>
          <w:color w:val="5A6478"/>
          <w:sz w:val="17"/>
          <w:szCs w:val="17"/>
        </w:rPr>
        <w:t>* As at 31 December 2024.</w:t>
      </w:r>
      <w:r>
        <w:br/>
      </w:r>
      <w:r>
        <w:rPr>
          <w:rFonts w:ascii="Arial" w:hAnsi="Arial" w:cs="Arial" w:eastAsia="Arial"/>
          <w:color w:val="5A6478"/>
          <w:sz w:val="17"/>
          <w:szCs w:val="17"/>
        </w:rPr>
        <w:t>** As at 31 March 2025.</w:t>
      </w:r>
      <w:r>
        <w:br/>
      </w:r>
      <w:r>
        <w:rPr>
          <w:rFonts w:ascii="Arial" w:hAnsi="Arial" w:cs="Arial" w:eastAsia="Arial"/>
          <w:color w:val="5A6478"/>
          <w:sz w:val="17"/>
          <w:szCs w:val="17"/>
        </w:rPr>
        <w:t>*** Benchmark average return is 7.47% per annum, or a return of 1.71% for the reporting quarter.</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0" name="Picture 904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OWNERSHIP OF FUND INVESTMENTS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spacing w:before="0" w:after="0" w:line="264" w:lineRule="auto"/>
            </w:pPr>
            <w:r>
              <w:rPr>
                <w:rFonts w:ascii="Arial" w:hAnsi="Arial" w:cs="Arial" w:eastAsia="Arial"/>
                <w:b/>
                <w:bCs/>
                <w:color w:val="FFFFFF"/>
                <w:sz w:val="17"/>
                <w:szCs w:val="17"/>
              </w:rPr>
              <w:t>OWNERSHIP</w:t>
            </w:r>
          </w:p>
        </w:tc>
        <w:tc>
          <w:tcPr>
            <w:tcW w:type="dxa" w:w="4989"/>
            <w:shd w:val="clear" w:color="auto" w:fill="12284B"/>
          </w:tcPr>
          <w:p>
            <w:pPr>
              <w:spacing w:before="0" w:after="0" w:line="264" w:lineRule="auto"/>
            </w:pPr>
            <w:r>
              <w:rPr>
                <w:rFonts w:ascii="Arial" w:hAnsi="Arial" w:cs="Arial" w:eastAsia="Arial"/>
                <w:b/>
                <w:bCs/>
                <w:color w:val="FFFFFF"/>
                <w:sz w:val="17"/>
                <w:szCs w:val="17"/>
              </w:rPr>
              <w:t>PERCENTAGE (%)</w:t>
            </w:r>
          </w:p>
        </w:tc>
      </w:tr>
      <w:tr>
        <w:tc>
          <w:tcPr>
            <w:tcW w:type="dxa" w:w="4989"/>
          </w:tcPr>
          <w:p>
            <w:pPr>
              <w:spacing w:before="0" w:after="0" w:line="264" w:lineRule="auto"/>
            </w:pPr>
            <w:r>
              <w:rPr>
                <w:rFonts w:ascii="Arial" w:hAnsi="Arial" w:cs="Arial" w:eastAsia="Arial"/>
                <w:color w:val="0E1E3A"/>
                <w:sz w:val="17"/>
                <w:szCs w:val="17"/>
              </w:rPr>
              <w:t>FREEHOLD</w:t>
            </w:r>
          </w:p>
        </w:tc>
        <w:tc>
          <w:tcPr>
            <w:tcW w:type="dxa" w:w="4989"/>
          </w:tcPr>
          <w:p>
            <w:pPr>
              <w:spacing w:before="0" w:after="0" w:line="264" w:lineRule="auto"/>
            </w:pPr>
            <w:r>
              <w:rPr>
                <w:rFonts w:ascii="Arial" w:hAnsi="Arial" w:cs="Arial" w:eastAsia="Arial"/>
                <w:color w:val="0E1E3A"/>
                <w:sz w:val="17"/>
                <w:szCs w:val="17"/>
              </w:rPr>
              <w:t>100%</w:t>
            </w:r>
          </w:p>
        </w:tc>
      </w:tr>
      <w:tr>
        <w:tc>
          <w:tcPr>
            <w:tcW w:type="dxa" w:w="4989"/>
          </w:tcPr>
          <w:p>
            <w:pPr>
              <w:spacing w:before="0" w:after="0" w:line="264" w:lineRule="auto"/>
            </w:pPr>
            <w:r>
              <w:rPr>
                <w:rFonts w:ascii="Arial" w:hAnsi="Arial" w:cs="Arial" w:eastAsia="Arial"/>
                <w:color w:val="0E1E3A"/>
                <w:sz w:val="17"/>
                <w:szCs w:val="17"/>
              </w:rPr>
              <w:t>LEASEHOLD</w:t>
            </w:r>
          </w:p>
        </w:tc>
        <w:tc>
          <w:tcPr>
            <w:tcW w:type="dxa" w:w="4989"/>
          </w:tcPr>
          <w:p>
            <w:pPr>
              <w:spacing w:before="0" w:after="0" w:line="264" w:lineRule="auto"/>
            </w:pPr>
            <w:r>
              <w:rPr>
                <w:rFonts w:ascii="Arial" w:hAnsi="Arial" w:cs="Arial" w:eastAsia="Arial"/>
                <w:color w:val="0E1E3A"/>
                <w:sz w:val="17"/>
                <w:szCs w:val="17"/>
              </w:rPr>
              <w:t>0%</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1" name="Picture 9048"/>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RETURNS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ITEM</w:t>
            </w:r>
          </w:p>
        </w:tc>
        <w:tc>
          <w:tcPr>
            <w:tcW w:type="dxa" w:w="1663"/>
            <w:shd w:val="clear" w:color="auto" w:fill="12284B"/>
          </w:tcPr>
          <w:p>
            <w:pPr>
              <w:spacing w:before="0" w:after="0" w:line="264" w:lineRule="auto"/>
            </w:pPr>
            <w:r>
              <w:rPr>
                <w:rFonts w:ascii="Arial" w:hAnsi="Arial" w:cs="Arial" w:eastAsia="Arial"/>
                <w:b/>
                <w:bCs/>
                <w:color w:val="FFFFFF"/>
                <w:sz w:val="17"/>
                <w:szCs w:val="17"/>
              </w:rPr>
              <w:t>3 MONTHS *</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w:t>
            </w:r>
          </w:p>
        </w:tc>
        <w:tc>
          <w:tcPr>
            <w:tcW w:type="dxa" w:w="1663"/>
            <w:shd w:val="clear" w:color="auto" w:fill="12284B"/>
          </w:tcPr>
          <w:p>
            <w:pPr>
              <w:spacing w:before="0" w:after="0" w:line="264" w:lineRule="auto"/>
            </w:pPr>
            <w:r>
              <w:rPr>
                <w:rFonts w:ascii="Arial" w:hAnsi="Arial" w:cs="Arial" w:eastAsia="Arial"/>
                <w:b/>
                <w:bCs/>
                <w:color w:val="FFFFFF"/>
                <w:sz w:val="17"/>
                <w:szCs w:val="17"/>
              </w:rPr>
              <w:t>ONE YEAR***</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TOTAL RETURN/NAV PER UNIT "FUND PERFORMANCE"</w:t>
            </w:r>
          </w:p>
        </w:tc>
        <w:tc>
          <w:tcPr>
            <w:tcW w:type="dxa" w:w="1663"/>
          </w:tcPr>
          <w:p>
            <w:pPr>
              <w:spacing w:before="0" w:after="0" w:line="264" w:lineRule="auto"/>
            </w:pPr>
            <w:r>
              <w:rPr>
                <w:rFonts w:ascii="Arial" w:hAnsi="Arial" w:cs="Arial" w:eastAsia="Arial"/>
                <w:color w:val="0E1E3A"/>
                <w:sz w:val="17"/>
                <w:szCs w:val="17"/>
              </w:rPr>
              <w:t>1.88%</w:t>
            </w:r>
          </w:p>
        </w:tc>
        <w:tc>
          <w:tcPr>
            <w:tcW w:type="dxa" w:w="1663"/>
          </w:tcPr>
          <w:p>
            <w:pPr>
              <w:spacing w:before="0" w:after="0" w:line="264" w:lineRule="auto"/>
            </w:pPr>
            <w:r>
              <w:rPr>
                <w:rFonts w:ascii="Arial" w:hAnsi="Arial" w:cs="Arial" w:eastAsia="Arial"/>
                <w:color w:val="0E1E3A"/>
                <w:sz w:val="17"/>
                <w:szCs w:val="17"/>
              </w:rPr>
              <w:t>1.88%</w:t>
            </w:r>
          </w:p>
        </w:tc>
        <w:tc>
          <w:tcPr>
            <w:tcW w:type="dxa" w:w="1663"/>
          </w:tcPr>
          <w:p>
            <w:pPr>
              <w:spacing w:before="0" w:after="0" w:line="264" w:lineRule="auto"/>
            </w:pPr>
            <w:r>
              <w:rPr>
                <w:rFonts w:ascii="Arial" w:hAnsi="Arial" w:cs="Arial" w:eastAsia="Arial"/>
                <w:color w:val="0E1E3A"/>
                <w:sz w:val="17"/>
                <w:szCs w:val="17"/>
              </w:rPr>
              <w:t>2.99%</w:t>
            </w:r>
          </w:p>
        </w:tc>
        <w:tc>
          <w:tcPr>
            <w:tcW w:type="dxa" w:w="1663"/>
          </w:tcPr>
          <w:p>
            <w:pPr>
              <w:spacing w:before="0" w:after="0" w:line="264" w:lineRule="auto"/>
            </w:pPr>
            <w:r>
              <w:rPr>
                <w:rFonts w:ascii="Arial" w:hAnsi="Arial" w:cs="Arial" w:eastAsia="Arial"/>
                <w:color w:val="0E1E3A"/>
                <w:sz w:val="17"/>
                <w:szCs w:val="17"/>
              </w:rPr>
              <w:t>12.83%</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BENCHMARK PERFORMANCE</w:t>
            </w:r>
          </w:p>
        </w:tc>
        <w:tc>
          <w:tcPr>
            <w:tcW w:type="dxa" w:w="1663"/>
          </w:tcPr>
          <w:p>
            <w:pPr>
              <w:spacing w:before="0" w:after="0" w:line="264" w:lineRule="auto"/>
            </w:pPr>
            <w:r>
              <w:rPr>
                <w:rFonts w:ascii="Arial" w:hAnsi="Arial" w:cs="Arial" w:eastAsia="Arial"/>
                <w:color w:val="0E1E3A"/>
                <w:sz w:val="17"/>
                <w:szCs w:val="17"/>
              </w:rPr>
              <w:t>1.751%</w:t>
            </w:r>
          </w:p>
        </w:tc>
        <w:tc>
          <w:tcPr>
            <w:tcW w:type="dxa" w:w="1663"/>
          </w:tcPr>
          <w:p>
            <w:pPr>
              <w:spacing w:before="0" w:after="0" w:line="264" w:lineRule="auto"/>
            </w:pPr>
            <w:r>
              <w:rPr>
                <w:rFonts w:ascii="Arial" w:hAnsi="Arial" w:cs="Arial" w:eastAsia="Arial"/>
                <w:color w:val="0E1E3A"/>
                <w:sz w:val="17"/>
                <w:szCs w:val="17"/>
              </w:rPr>
              <w:t>1.71%</w:t>
            </w:r>
          </w:p>
        </w:tc>
        <w:tc>
          <w:tcPr>
            <w:tcW w:type="dxa" w:w="1663"/>
          </w:tcPr>
          <w:p>
            <w:pPr>
              <w:spacing w:before="0" w:after="0" w:line="264" w:lineRule="auto"/>
            </w:pPr>
            <w:r>
              <w:rPr>
                <w:rFonts w:ascii="Arial" w:hAnsi="Arial" w:cs="Arial" w:eastAsia="Arial"/>
                <w:color w:val="0E1E3A"/>
                <w:sz w:val="17"/>
                <w:szCs w:val="17"/>
              </w:rPr>
              <w:t>7.47%</w:t>
            </w:r>
          </w:p>
        </w:tc>
        <w:tc>
          <w:tcPr>
            <w:tcW w:type="dxa" w:w="1663"/>
          </w:tcPr>
          <w:p>
            <w:pPr>
              <w:spacing w:before="0" w:after="0" w:line="264" w:lineRule="auto"/>
            </w:pPr>
            <w:r>
              <w:rPr>
                <w:rFonts w:ascii="Arial" w:hAnsi="Arial" w:cs="Arial" w:eastAsia="Arial"/>
                <w:color w:val="0E1E3A"/>
                <w:sz w:val="17"/>
                <w:szCs w:val="17"/>
              </w:rPr>
              <w:t>30.37%</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PERFORMANCE SPREAD</w:t>
            </w:r>
          </w:p>
        </w:tc>
        <w:tc>
          <w:tcPr>
            <w:tcW w:type="dxa" w:w="1663"/>
          </w:tcPr>
          <w:p>
            <w:pPr>
              <w:spacing w:before="0" w:after="0" w:line="264" w:lineRule="auto"/>
            </w:pPr>
            <w:r>
              <w:rPr>
                <w:rFonts w:ascii="Arial" w:hAnsi="Arial" w:cs="Arial" w:eastAsia="Arial"/>
                <w:color w:val="0E1E3A"/>
                <w:sz w:val="17"/>
                <w:szCs w:val="17"/>
              </w:rPr>
              <w:t>0.17%</w:t>
            </w:r>
          </w:p>
        </w:tc>
        <w:tc>
          <w:tcPr>
            <w:tcW w:type="dxa" w:w="1663"/>
          </w:tcPr>
          <w:p>
            <w:pPr>
              <w:spacing w:before="0" w:after="0" w:line="264" w:lineRule="auto"/>
            </w:pPr>
            <w:r>
              <w:rPr>
                <w:rFonts w:ascii="Arial" w:hAnsi="Arial" w:cs="Arial" w:eastAsia="Arial"/>
                <w:color w:val="0E1E3A"/>
                <w:sz w:val="17"/>
                <w:szCs w:val="17"/>
              </w:rPr>
              <w:t>0.17%</w:t>
            </w:r>
          </w:p>
        </w:tc>
        <w:tc>
          <w:tcPr>
            <w:tcW w:type="dxa" w:w="1663"/>
          </w:tcPr>
          <w:p>
            <w:pPr>
              <w:spacing w:before="0" w:after="0" w:line="264" w:lineRule="auto"/>
            </w:pPr>
            <w:r>
              <w:rPr>
                <w:rFonts w:ascii="Arial" w:hAnsi="Arial" w:cs="Arial" w:eastAsia="Arial"/>
                <w:color w:val="0E1E3A"/>
                <w:sz w:val="17"/>
                <w:szCs w:val="17"/>
              </w:rPr>
              <w:t>-4.48%</w:t>
            </w:r>
          </w:p>
        </w:tc>
        <w:tc>
          <w:tcPr>
            <w:tcW w:type="dxa" w:w="1663"/>
          </w:tcPr>
          <w:p>
            <w:pPr>
              <w:spacing w:before="0" w:after="0" w:line="264" w:lineRule="auto"/>
            </w:pPr>
            <w:r>
              <w:rPr>
                <w:rFonts w:ascii="Arial" w:hAnsi="Arial" w:cs="Arial" w:eastAsia="Arial"/>
                <w:color w:val="0E1E3A"/>
                <w:sz w:val="17"/>
                <w:szCs w:val="17"/>
              </w:rPr>
              <w:t>-17.54%</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 For the period from 1 January 2025 to 31 March 2025.</w:t>
      </w:r>
      <w:r>
        <w:br/>
      </w:r>
      <w:r>
        <w:rPr>
          <w:rFonts w:ascii="Arial" w:hAnsi="Arial" w:cs="Arial" w:eastAsia="Arial"/>
          <w:color w:val="5A6478"/>
          <w:sz w:val="17"/>
          <w:szCs w:val="17"/>
        </w:rPr>
        <w:t>** For the period from 1 January 2025 to 31 March 2025, including cash distributions of 2.30%.</w:t>
      </w:r>
      <w:r>
        <w:br/>
      </w:r>
      <w:r>
        <w:rPr>
          <w:rFonts w:ascii="Arial" w:hAnsi="Arial" w:cs="Arial" w:eastAsia="Arial"/>
          <w:color w:val="5A6478"/>
          <w:sz w:val="17"/>
          <w:szCs w:val="17"/>
        </w:rPr>
        <w:t>*** For the period from 1 January 2025 to 31 March 2025, including cash distributions of 2.30%.</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2" name="Picture 9049"/>
            <wp:cNvGraphicFramePr>
              <a:graphicFrameLocks noChangeAspect="1"/>
            </wp:cNvGraphicFramePr>
            <a:graphic>
              <a:graphicData uri="http://schemas.openxmlformats.org/drawingml/2006/picture">
                <pic:pic>
                  <pic:nvPicPr>
                    <pic:cNvPr id="0" name="ico_47bcec02f49b9d1a764a57a70a5c8310.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AND RISKS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PERFORMANCE AND RISKS CRITERIA</w:t>
            </w:r>
          </w:p>
        </w:tc>
        <w:tc>
          <w:tcPr>
            <w:tcW w:type="dxa" w:w="1663"/>
            <w:shd w:val="clear" w:color="auto" w:fill="12284B"/>
          </w:tcPr>
          <w:p>
            <w:pPr>
              <w:spacing w:before="0" w:after="0" w:line="264" w:lineRule="auto"/>
            </w:pPr>
            <w:r>
              <w:rPr>
                <w:rFonts w:ascii="Arial" w:hAnsi="Arial" w:cs="Arial" w:eastAsia="Arial"/>
                <w:b/>
                <w:bCs/>
                <w:color w:val="FFFFFF"/>
                <w:sz w:val="17"/>
                <w:szCs w:val="17"/>
              </w:rPr>
              <w:t>3 MONTHS1</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DATE2</w:t>
            </w:r>
          </w:p>
        </w:tc>
        <w:tc>
          <w:tcPr>
            <w:tcW w:type="dxa" w:w="1663"/>
            <w:shd w:val="clear" w:color="auto" w:fill="12284B"/>
          </w:tcPr>
          <w:p>
            <w:pPr>
              <w:spacing w:before="0" w:after="0" w:line="264" w:lineRule="auto"/>
            </w:pPr>
            <w:r>
              <w:rPr>
                <w:rFonts w:ascii="Arial" w:hAnsi="Arial" w:cs="Arial" w:eastAsia="Arial"/>
                <w:b/>
                <w:bCs/>
                <w:color w:val="FFFFFF"/>
                <w:sz w:val="17"/>
                <w:szCs w:val="17"/>
              </w:rPr>
              <w:t>ONE YEAR3</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STANDARD DEVIATION4</w:t>
            </w:r>
          </w:p>
        </w:tc>
        <w:tc>
          <w:tcPr>
            <w:tcW w:type="dxa" w:w="1663"/>
          </w:tcPr>
          <w:p>
            <w:pPr>
              <w:spacing w:before="0" w:after="0" w:line="264" w:lineRule="auto"/>
            </w:pPr>
            <w:r>
              <w:rPr>
                <w:rFonts w:ascii="Arial" w:hAnsi="Arial" w:cs="Arial" w:eastAsia="Arial"/>
                <w:color w:val="0E1E3A"/>
                <w:sz w:val="17"/>
                <w:szCs w:val="17"/>
              </w:rPr>
              <w:t>11.96</w:t>
            </w:r>
          </w:p>
        </w:tc>
        <w:tc>
          <w:tcPr>
            <w:tcW w:type="dxa" w:w="1663"/>
          </w:tcPr>
          <w:p>
            <w:pPr>
              <w:spacing w:before="0" w:after="0" w:line="264" w:lineRule="auto"/>
            </w:pPr>
            <w:r>
              <w:rPr>
                <w:rFonts w:ascii="Arial" w:hAnsi="Arial" w:cs="Arial" w:eastAsia="Arial"/>
                <w:color w:val="0E1E3A"/>
                <w:sz w:val="17"/>
                <w:szCs w:val="17"/>
              </w:rPr>
              <w:t>11.96</w:t>
            </w:r>
          </w:p>
        </w:tc>
        <w:tc>
          <w:tcPr>
            <w:tcW w:type="dxa" w:w="1663"/>
          </w:tcPr>
          <w:p>
            <w:pPr>
              <w:spacing w:before="0" w:after="0" w:line="264" w:lineRule="auto"/>
            </w:pPr>
            <w:r>
              <w:rPr>
                <w:rFonts w:ascii="Arial" w:hAnsi="Arial" w:cs="Arial" w:eastAsia="Arial"/>
                <w:color w:val="0E1E3A"/>
                <w:sz w:val="17"/>
                <w:szCs w:val="17"/>
              </w:rPr>
              <w:t>15.19</w:t>
            </w:r>
          </w:p>
        </w:tc>
        <w:tc>
          <w:tcPr>
            <w:tcW w:type="dxa" w:w="1663"/>
          </w:tcPr>
          <w:p>
            <w:pPr>
              <w:spacing w:before="0" w:after="0" w:line="264" w:lineRule="auto"/>
            </w:pPr>
            <w:r>
              <w:rPr>
                <w:rFonts w:ascii="Arial" w:hAnsi="Arial" w:cs="Arial" w:eastAsia="Arial"/>
                <w:color w:val="0E1E3A"/>
                <w:sz w:val="17"/>
                <w:szCs w:val="17"/>
              </w:rPr>
              <w:t>15.97</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SHARPE RATIO5</w:t>
            </w:r>
          </w:p>
        </w:tc>
        <w:tc>
          <w:tcPr>
            <w:tcW w:type="dxa" w:w="1663"/>
          </w:tcPr>
          <w:p>
            <w:pPr>
              <w:spacing w:before="0" w:after="0" w:line="264" w:lineRule="auto"/>
            </w:pPr>
            <w:r>
              <w:rPr>
                <w:rFonts w:ascii="Arial" w:hAnsi="Arial" w:cs="Arial" w:eastAsia="Arial"/>
                <w:color w:val="0E1E3A"/>
                <w:sz w:val="17"/>
                <w:szCs w:val="17"/>
              </w:rPr>
              <w:t>-2.76</w:t>
            </w:r>
          </w:p>
        </w:tc>
        <w:tc>
          <w:tcPr>
            <w:tcW w:type="dxa" w:w="1663"/>
          </w:tcPr>
          <w:p>
            <w:pPr>
              <w:spacing w:before="0" w:after="0" w:line="264" w:lineRule="auto"/>
            </w:pPr>
            <w:r>
              <w:rPr>
                <w:rFonts w:ascii="Arial" w:hAnsi="Arial" w:cs="Arial" w:eastAsia="Arial"/>
                <w:color w:val="0E1E3A"/>
                <w:sz w:val="17"/>
                <w:szCs w:val="17"/>
              </w:rPr>
              <w:t>-2.76</w:t>
            </w:r>
          </w:p>
        </w:tc>
        <w:tc>
          <w:tcPr>
            <w:tcW w:type="dxa" w:w="1663"/>
          </w:tcPr>
          <w:p>
            <w:pPr>
              <w:spacing w:before="0" w:after="0" w:line="264" w:lineRule="auto"/>
            </w:pPr>
            <w:r>
              <w:rPr>
                <w:rFonts w:ascii="Arial" w:hAnsi="Arial" w:cs="Arial" w:eastAsia="Arial"/>
                <w:color w:val="0E1E3A"/>
                <w:sz w:val="17"/>
                <w:szCs w:val="17"/>
              </w:rPr>
              <w:t>-0.74</w:t>
            </w:r>
          </w:p>
        </w:tc>
        <w:tc>
          <w:tcPr>
            <w:tcW w:type="dxa" w:w="1663"/>
          </w:tcPr>
          <w:p>
            <w:pPr>
              <w:spacing w:before="0" w:after="0" w:line="264" w:lineRule="auto"/>
            </w:pPr>
            <w:r>
              <w:rPr>
                <w:rFonts w:ascii="Arial" w:hAnsi="Arial" w:cs="Arial" w:eastAsia="Arial"/>
                <w:color w:val="0E1E3A"/>
                <w:sz w:val="17"/>
                <w:szCs w:val="17"/>
              </w:rPr>
              <w:t>-0.53</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TRACKING ERROR6</w:t>
            </w:r>
          </w:p>
        </w:tc>
        <w:tc>
          <w:tcPr>
            <w:tcW w:type="dxa" w:w="1663"/>
          </w:tcPr>
          <w:p>
            <w:pPr>
              <w:spacing w:before="0" w:after="0" w:line="264" w:lineRule="auto"/>
            </w:pPr>
            <w:r>
              <w:rPr>
                <w:rFonts w:ascii="Arial" w:hAnsi="Arial" w:cs="Arial" w:eastAsia="Arial"/>
                <w:color w:val="0E1E3A"/>
                <w:sz w:val="17"/>
                <w:szCs w:val="17"/>
              </w:rPr>
              <w:t>12.11</w:t>
            </w:r>
          </w:p>
        </w:tc>
        <w:tc>
          <w:tcPr>
            <w:tcW w:type="dxa" w:w="1663"/>
          </w:tcPr>
          <w:p>
            <w:pPr>
              <w:spacing w:before="0" w:after="0" w:line="264" w:lineRule="auto"/>
            </w:pPr>
            <w:r>
              <w:rPr>
                <w:rFonts w:ascii="Arial" w:hAnsi="Arial" w:cs="Arial" w:eastAsia="Arial"/>
                <w:color w:val="0E1E3A"/>
                <w:sz w:val="17"/>
                <w:szCs w:val="17"/>
              </w:rPr>
              <w:t>12.11</w:t>
            </w:r>
          </w:p>
        </w:tc>
        <w:tc>
          <w:tcPr>
            <w:tcW w:type="dxa" w:w="1663"/>
          </w:tcPr>
          <w:p>
            <w:pPr>
              <w:spacing w:before="0" w:after="0" w:line="264" w:lineRule="auto"/>
            </w:pPr>
            <w:r>
              <w:rPr>
                <w:rFonts w:ascii="Arial" w:hAnsi="Arial" w:cs="Arial" w:eastAsia="Arial"/>
                <w:color w:val="0E1E3A"/>
                <w:sz w:val="17"/>
                <w:szCs w:val="17"/>
              </w:rPr>
              <w:t>15.21</w:t>
            </w:r>
          </w:p>
        </w:tc>
        <w:tc>
          <w:tcPr>
            <w:tcW w:type="dxa" w:w="1663"/>
          </w:tcPr>
          <w:p>
            <w:pPr>
              <w:spacing w:before="0" w:after="0" w:line="264" w:lineRule="auto"/>
            </w:pPr>
            <w:r>
              <w:rPr>
                <w:rFonts w:ascii="Arial" w:hAnsi="Arial" w:cs="Arial" w:eastAsia="Arial"/>
                <w:color w:val="0E1E3A"/>
                <w:sz w:val="17"/>
                <w:szCs w:val="17"/>
              </w:rPr>
              <w:t>16.01</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BETA7</w:t>
            </w:r>
          </w:p>
        </w:tc>
        <w:tc>
          <w:tcPr>
            <w:tcW w:type="dxa" w:w="1663"/>
          </w:tcPr>
          <w:p>
            <w:pPr>
              <w:spacing w:before="0" w:after="0" w:line="264" w:lineRule="auto"/>
            </w:pPr>
            <w:r>
              <w:rPr>
                <w:rFonts w:ascii="Arial" w:hAnsi="Arial" w:cs="Arial" w:eastAsia="Arial"/>
                <w:color w:val="0E1E3A"/>
                <w:sz w:val="17"/>
                <w:szCs w:val="17"/>
              </w:rPr>
              <w:t>-0.15</w:t>
            </w:r>
          </w:p>
        </w:tc>
        <w:tc>
          <w:tcPr>
            <w:tcW w:type="dxa" w:w="1663"/>
          </w:tcPr>
          <w:p>
            <w:pPr>
              <w:spacing w:before="0" w:after="0" w:line="264" w:lineRule="auto"/>
            </w:pPr>
            <w:r>
              <w:rPr>
                <w:rFonts w:ascii="Arial" w:hAnsi="Arial" w:cs="Arial" w:eastAsia="Arial"/>
                <w:color w:val="0E1E3A"/>
                <w:sz w:val="17"/>
                <w:szCs w:val="17"/>
              </w:rPr>
              <w:t>-0.15</w:t>
            </w:r>
          </w:p>
        </w:tc>
        <w:tc>
          <w:tcPr>
            <w:tcW w:type="dxa" w:w="1663"/>
          </w:tcPr>
          <w:p>
            <w:pPr>
              <w:spacing w:before="0" w:after="0" w:line="264" w:lineRule="auto"/>
            </w:pPr>
            <w:r>
              <w:rPr>
                <w:rFonts w:ascii="Arial" w:hAnsi="Arial" w:cs="Arial" w:eastAsia="Arial"/>
                <w:color w:val="0E1E3A"/>
                <w:sz w:val="17"/>
                <w:szCs w:val="17"/>
              </w:rPr>
              <w:t>-0.02</w:t>
            </w:r>
          </w:p>
        </w:tc>
        <w:tc>
          <w:tcPr>
            <w:tcW w:type="dxa" w:w="1663"/>
          </w:tcPr>
          <w:p>
            <w:pPr>
              <w:spacing w:before="0" w:after="0" w:line="264" w:lineRule="auto"/>
            </w:pPr>
            <w:r>
              <w:rPr>
                <w:rFonts w:ascii="Arial" w:hAnsi="Arial" w:cs="Arial" w:eastAsia="Arial"/>
                <w:color w:val="0E1E3A"/>
                <w:sz w:val="17"/>
                <w:szCs w:val="17"/>
              </w:rPr>
              <w:t>-0.02</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ALPHA8</w:t>
            </w:r>
          </w:p>
        </w:tc>
        <w:tc>
          <w:tcPr>
            <w:tcW w:type="dxa" w:w="1663"/>
          </w:tcPr>
          <w:p>
            <w:pPr>
              <w:spacing w:before="0" w:after="0" w:line="264" w:lineRule="auto"/>
            </w:pPr>
            <w:r>
              <w:rPr>
                <w:rFonts w:ascii="Arial" w:hAnsi="Arial" w:cs="Arial" w:eastAsia="Arial"/>
                <w:color w:val="0E1E3A"/>
                <w:sz w:val="17"/>
                <w:szCs w:val="17"/>
              </w:rPr>
              <w:t>-0.42</w:t>
            </w:r>
          </w:p>
        </w:tc>
        <w:tc>
          <w:tcPr>
            <w:tcW w:type="dxa" w:w="1663"/>
          </w:tcPr>
          <w:p>
            <w:pPr>
              <w:spacing w:before="0" w:after="0" w:line="264" w:lineRule="auto"/>
            </w:pPr>
            <w:r>
              <w:rPr>
                <w:rFonts w:ascii="Arial" w:hAnsi="Arial" w:cs="Arial" w:eastAsia="Arial"/>
                <w:color w:val="0E1E3A"/>
                <w:sz w:val="17"/>
                <w:szCs w:val="17"/>
              </w:rPr>
              <w:t>-0.42</w:t>
            </w:r>
          </w:p>
        </w:tc>
        <w:tc>
          <w:tcPr>
            <w:tcW w:type="dxa" w:w="1663"/>
          </w:tcPr>
          <w:p>
            <w:pPr>
              <w:spacing w:before="0" w:after="0" w:line="264" w:lineRule="auto"/>
            </w:pPr>
            <w:r>
              <w:rPr>
                <w:rFonts w:ascii="Arial" w:hAnsi="Arial" w:cs="Arial" w:eastAsia="Arial"/>
                <w:color w:val="0E1E3A"/>
                <w:sz w:val="17"/>
                <w:szCs w:val="17"/>
              </w:rPr>
              <w:t>-0.15</w:t>
            </w:r>
          </w:p>
        </w:tc>
        <w:tc>
          <w:tcPr>
            <w:tcW w:type="dxa" w:w="1663"/>
          </w:tcPr>
          <w:p>
            <w:pPr>
              <w:spacing w:before="0" w:after="0" w:line="264" w:lineRule="auto"/>
            </w:pPr>
            <w:r>
              <w:rPr>
                <w:rFonts w:ascii="Arial" w:hAnsi="Arial" w:cs="Arial" w:eastAsia="Arial"/>
                <w:color w:val="0E1E3A"/>
                <w:sz w:val="17"/>
                <w:szCs w:val="17"/>
              </w:rPr>
              <w:t>-0.12</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INFORMATION RATIO9</w:t>
            </w:r>
          </w:p>
        </w:tc>
        <w:tc>
          <w:tcPr>
            <w:tcW w:type="dxa" w:w="1663"/>
          </w:tcPr>
          <w:p>
            <w:pPr>
              <w:spacing w:before="0" w:after="0" w:line="264" w:lineRule="auto"/>
            </w:pPr>
            <w:r>
              <w:rPr>
                <w:rFonts w:ascii="Arial" w:hAnsi="Arial" w:cs="Arial" w:eastAsia="Arial"/>
                <w:color w:val="0E1E3A"/>
                <w:sz w:val="17"/>
                <w:szCs w:val="17"/>
              </w:rPr>
              <w:t>-3.34%</w:t>
            </w:r>
          </w:p>
        </w:tc>
        <w:tc>
          <w:tcPr>
            <w:tcW w:type="dxa" w:w="1663"/>
          </w:tcPr>
          <w:p>
            <w:pPr>
              <w:spacing w:before="0" w:after="0" w:line="264" w:lineRule="auto"/>
            </w:pPr>
            <w:r>
              <w:rPr>
                <w:rFonts w:ascii="Arial" w:hAnsi="Arial" w:cs="Arial" w:eastAsia="Arial"/>
                <w:color w:val="0E1E3A"/>
                <w:sz w:val="17"/>
                <w:szCs w:val="17"/>
              </w:rPr>
              <w:t>-3.34%</w:t>
            </w:r>
          </w:p>
        </w:tc>
        <w:tc>
          <w:tcPr>
            <w:tcW w:type="dxa" w:w="1663"/>
          </w:tcPr>
          <w:p>
            <w:pPr>
              <w:spacing w:before="0" w:after="0" w:line="264" w:lineRule="auto"/>
            </w:pPr>
            <w:r>
              <w:rPr>
                <w:rFonts w:ascii="Arial" w:hAnsi="Arial" w:cs="Arial" w:eastAsia="Arial"/>
                <w:color w:val="0E1E3A"/>
                <w:sz w:val="17"/>
                <w:szCs w:val="17"/>
              </w:rPr>
              <w:t>-1.00%</w:t>
            </w:r>
          </w:p>
        </w:tc>
        <w:tc>
          <w:tcPr>
            <w:tcW w:type="dxa" w:w="1663"/>
          </w:tcPr>
          <w:p>
            <w:pPr>
              <w:spacing w:before="0" w:after="0" w:line="264" w:lineRule="auto"/>
            </w:pPr>
            <w:r>
              <w:rPr>
                <w:rFonts w:ascii="Arial" w:hAnsi="Arial" w:cs="Arial" w:eastAsia="Arial"/>
                <w:color w:val="0E1E3A"/>
                <w:sz w:val="17"/>
                <w:szCs w:val="17"/>
              </w:rPr>
              <w:t>-0.78%</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1. For the period from 1 January 2025 to 31 March 2025.</w:t>
      </w:r>
      <w:r>
        <w:br/>
      </w:r>
      <w:r>
        <w:rPr>
          <w:rFonts w:ascii="Arial" w:hAnsi="Arial" w:cs="Arial" w:eastAsia="Arial"/>
          <w:color w:val="5A6478"/>
          <w:sz w:val="17"/>
          <w:szCs w:val="17"/>
        </w:rPr>
        <w:t>2. For the period from 1 January 2025 to 31 March 2025.</w:t>
      </w:r>
      <w:r>
        <w:br/>
      </w:r>
      <w:r>
        <w:rPr>
          <w:rFonts w:ascii="Arial" w:hAnsi="Arial" w:cs="Arial" w:eastAsia="Arial"/>
          <w:color w:val="5A6478"/>
          <w:sz w:val="17"/>
          <w:szCs w:val="17"/>
        </w:rPr>
        <w:t>3. For the period from 1 April 2024 to 31 March 2025.</w:t>
      </w:r>
      <w:r>
        <w:br/>
      </w:r>
      <w:r>
        <w:rPr>
          <w:rFonts w:ascii="Arial" w:hAnsi="Arial" w:cs="Arial" w:eastAsia="Arial"/>
          <w:color w:val="5A6478"/>
          <w:sz w:val="17"/>
          <w:szCs w:val="17"/>
        </w:rPr>
        <w:t>4. Standard Deviation is a measure of risk. It is calculated as any volatility in returns over a period of time. The lower the volatility, the more homogeneous the set of returns.</w:t>
      </w:r>
      <w:r>
        <w:br/>
      </w:r>
      <w:r>
        <w:rPr>
          <w:rFonts w:ascii="Arial" w:hAnsi="Arial" w:cs="Arial" w:eastAsia="Arial"/>
          <w:color w:val="5A6478"/>
          <w:sz w:val="17"/>
          <w:szCs w:val="17"/>
        </w:rPr>
        <w:t>5. Sharpe Ratio is a risk-adjusted performance measure. It is calculated as the difference as the Fund Manager excess return over the risk-free rate, divided by the Standard Deviation. The greater a portfolio's Sharpe</w:t>
      </w:r>
      <w:r>
        <w:br/>
      </w:r>
      <w:r>
        <w:rPr>
          <w:rFonts w:ascii="Arial" w:hAnsi="Arial" w:cs="Arial" w:eastAsia="Arial"/>
          <w:color w:val="5A6478"/>
          <w:sz w:val="17"/>
          <w:szCs w:val="17"/>
        </w:rPr>
        <w:t>Ratio, the better its risk-adjusted performance.</w:t>
      </w:r>
      <w:r>
        <w:br/>
      </w:r>
      <w:r>
        <w:rPr>
          <w:rFonts w:ascii="Arial" w:hAnsi="Arial" w:cs="Arial" w:eastAsia="Arial"/>
          <w:color w:val="5A6478"/>
          <w:sz w:val="17"/>
          <w:szCs w:val="17"/>
        </w:rPr>
        <w:t>6. Tracking Error is a measure of risks. It is calculated as the Standard Deviation between the Fund Manager's return and the Benchmark's return. The lower the Tracking Error, the lower the Fund Manager deviates</w:t>
      </w:r>
      <w:r>
        <w:br/>
      </w:r>
      <w:r>
        <w:rPr>
          <w:rFonts w:ascii="Arial" w:hAnsi="Arial" w:cs="Arial" w:eastAsia="Arial"/>
          <w:color w:val="5A6478"/>
          <w:sz w:val="17"/>
          <w:szCs w:val="17"/>
        </w:rPr>
        <w:t>from the Benchmark.</w:t>
      </w:r>
      <w:r>
        <w:br/>
      </w:r>
      <w:r>
        <w:rPr>
          <w:rFonts w:ascii="Arial" w:hAnsi="Arial" w:cs="Arial" w:eastAsia="Arial"/>
          <w:color w:val="5A6478"/>
          <w:sz w:val="17"/>
          <w:szCs w:val="17"/>
        </w:rPr>
        <w:t>7. Beta is a measure of the average historical sensitivity of the Fund's returns compared to market returns. It is calculated by using the covariance of the Fund and the market on the variance of the market.</w:t>
      </w:r>
      <w:r>
        <w:br/>
      </w:r>
      <w:r>
        <w:rPr>
          <w:rFonts w:ascii="Arial" w:hAnsi="Arial" w:cs="Arial" w:eastAsia="Arial"/>
          <w:color w:val="5A6478"/>
          <w:sz w:val="17"/>
          <w:szCs w:val="17"/>
        </w:rPr>
        <w:t>8. Alpha measures any excess return achieved by the Fund compared to the performance of the index.</w:t>
      </w:r>
      <w:r>
        <w:br/>
      </w:r>
      <w:r>
        <w:rPr>
          <w:rFonts w:ascii="Arial" w:hAnsi="Arial" w:cs="Arial" w:eastAsia="Arial"/>
          <w:color w:val="5A6478"/>
          <w:sz w:val="17"/>
          <w:szCs w:val="17"/>
        </w:rPr>
        <w:t>9. Information Ratio is a risk-adjusted performance measure. It is calculated as the active return of the Fund Manager, divided by its tracking error. The higher the Information ratio, the higher the Fund Manager ability</w:t>
      </w:r>
      <w:r>
        <w:br/>
      </w:r>
      <w:r>
        <w:rPr>
          <w:rFonts w:ascii="Arial" w:hAnsi="Arial" w:cs="Arial" w:eastAsia="Arial"/>
          <w:color w:val="5A6478"/>
          <w:sz w:val="17"/>
          <w:szCs w:val="17"/>
        </w:rPr>
        <w:t>to generate excess returns per Unit of excess risk. Knowing that the performance and risk parameters were calculated based on the Unit's trading prices in the market.</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3" name="Picture 9050"/>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HIGHLIGHTS AND ANY FUNDAMENTAL OR NON-FUNDAMENTAL CHANGES AFFECTING THE PERFORMANCE OF THE FUND</w:t>
      </w:r>
    </w:p>
    <w:p>
      <w:pPr>
        <w:spacing w:before="0" w:after="80" w:line="312" w:lineRule="auto"/>
      </w:pPr>
      <w:r>
        <w:rPr>
          <w:rFonts w:ascii="Arial" w:hAnsi="Arial" w:cs="Arial" w:eastAsia="Arial"/>
          <w:color w:val="0E1E3A"/>
          <w:sz w:val="20"/>
          <w:szCs w:val="20"/>
        </w:rPr>
        <w:t>The Fund Manager would like to highlight that the Fund’s investment in “Prestige Premium Alziraea Fund” which represented 8.6% of the Fund’s Net Asset Value as of the end of March 2025 is currently undergoing a managed sell down process.</w:t>
      </w:r>
    </w:p>
    <w:p>
      <w:pPr>
        <w:spacing w:before="0" w:after="80" w:line="312" w:lineRule="auto"/>
      </w:pPr>
      <w:r>
        <w:rPr>
          <w:rFonts w:ascii="Arial" w:hAnsi="Arial" w:cs="Arial" w:eastAsia="Arial"/>
          <w:color w:val="0E1E3A"/>
          <w:sz w:val="20"/>
          <w:szCs w:val="20"/>
        </w:rPr>
        <w:t>This is based on information received on October 7, 2024, from the income fund manager of “Prestige Premium Alziraea Fund”, who informed us of the income fund management’s decision to liquidate the fund.</w:t>
      </w:r>
    </w:p>
    <w:p>
      <w:pPr>
        <w:spacing w:before="0" w:after="80" w:line="312" w:lineRule="auto"/>
      </w:pPr>
      <w:r>
        <w:rPr>
          <w:rFonts w:ascii="Arial" w:hAnsi="Arial" w:cs="Arial" w:eastAsia="Arial"/>
          <w:color w:val="0E1E3A"/>
          <w:sz w:val="20"/>
          <w:szCs w:val="20"/>
        </w:rPr>
        <w:t>Accordingly, and as stated by the income fund manager of “Prestige Premium Alziraea Fund”, no dividend will be distributed during the exit period, which may negatively impact the Fund’s ability to distribute profits to unit holders during this period and until the managed sell down process is completed.</w:t>
      </w:r>
    </w:p>
    <w:p>
      <w:pPr>
        <w:spacing w:before="0" w:after="80" w:line="312" w:lineRule="auto"/>
      </w:pPr>
      <w:r>
        <w:rPr>
          <w:rFonts w:ascii="Arial" w:hAnsi="Arial" w:cs="Arial" w:eastAsia="Arial"/>
          <w:color w:val="0E1E3A"/>
          <w:sz w:val="20"/>
          <w:szCs w:val="20"/>
        </w:rPr>
        <w:t>The Fund Manager also notes that the exit process carries several risks, including:</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possibility of delays in the exit timeline or returns being lower than expected</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A decrease in the investment’s value if the assets are liquidated at prices below their book value</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potential inability to recover the full invested capital if the liquidated fund encounters any unexpected liabilities or additional expenses. The Fund Manager will continue to closely monitor the developments of the exit process and will inform unit holders of any si gnificant updates in due course.</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4" name="Picture 9051"/>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OVERVIEW OF THE LEASING, TRADE FINANCE AND SUKUK INDUSTRIES</w:t>
      </w:r>
    </w:p>
    <w:p>
      <w:pPr>
        <w:pStyle w:val="Heading3"/>
        <w:keepNext/>
        <w:spacing w:before="160" w:after="100" w:line="300" w:lineRule="auto"/>
      </w:pPr>
      <w:r>
        <w:rPr>
          <w:rFonts w:ascii="Arial" w:hAnsi="Arial" w:cs="Arial" w:eastAsia="Arial"/>
          <w:b/>
          <w:bCs/>
          <w:color w:val="12284B"/>
          <w:sz w:val="22"/>
          <w:szCs w:val="22"/>
        </w:rPr>
        <w:t>LEASING INDUSTRY OVERVIEW</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Equipment Leasing and Finance Association’s (ELFA) Monthly Confidence Index (MCI-EFI) declined to 58.81 in February, reflecting persistent strong demand on investment equipment. The Index shows the assessments of top executives in the equipment leasing industry - the size of which is estimated at around USD 1.3 trillion equipment leasing industry – of prevailing business conditions and their future outlook.</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Equipment Leasing and Finance Association’s (ELFA) projects that the industry is in well positioned for growth, even if the Fed slows the pace of rate decreases.</w:t>
      </w:r>
    </w:p>
    <w:p>
      <w:pPr>
        <w:pStyle w:val="Heading3"/>
        <w:keepNext/>
        <w:spacing w:before="160" w:after="100" w:line="300" w:lineRule="auto"/>
      </w:pPr>
      <w:r>
        <w:rPr>
          <w:rFonts w:ascii="Arial" w:hAnsi="Arial" w:cs="Arial" w:eastAsia="Arial"/>
          <w:b/>
          <w:bCs/>
          <w:color w:val="12284B"/>
          <w:sz w:val="22"/>
          <w:szCs w:val="22"/>
        </w:rPr>
        <w:t>TRADE FINANCE INDUSTRY OVERVIEW</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According to the most recent Global Trade Update published by the United Nations Conference on Trade and Development (UNCTAD), global trade has reached a record level of USD 33 trillion, an increase of 3.7% compared to 2023, driven by the growth of developing economies and the strength of the service sector.</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In spite of the geopolitical and economic challenges, the International Chamber of Commerce (ICC) Trade Register 2024 reaffirms the resilience of trade finance instruments, with default rates remaining low across all regions and asset classes. The report confirms that trade, supply chain and export finance continue to be classified as low risk.</w:t>
      </w:r>
    </w:p>
    <w:p>
      <w:pPr>
        <w:pStyle w:val="Heading3"/>
        <w:keepNext/>
        <w:spacing w:before="160" w:after="100" w:line="300" w:lineRule="auto"/>
      </w:pPr>
      <w:r>
        <w:rPr>
          <w:rFonts w:ascii="Arial" w:hAnsi="Arial" w:cs="Arial" w:eastAsia="Arial"/>
          <w:b/>
          <w:bCs/>
          <w:color w:val="12284B"/>
          <w:sz w:val="22"/>
          <w:szCs w:val="22"/>
        </w:rPr>
        <w:t>SUKUK INDUSTRY OVERVIEW</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S&amp;P Global Ratings forecasts Islamic Sukuk issuances in 2025 to range between USD 190 billion and USD 200 billion, supported by robust market performance in the previous year. Total issuances in 2024 reached around USD 193.4 billion, with a slight decline compared to US$ 197.8 billion in 2023.</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In terms of performance, the US Dow Jones Sukuk Index (ex-reinvestment) recorded gains by 2.30% in Q1 2025, while the S&amp;P GCC Bond and Sukuk Index gained 2.78% during the same period.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5" name="Picture 9052"/>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OF THE UNIT PRICE TRADED ON THE EXCHANGE SINCE THE INCEPTION OF THE FUND *</w:t>
      </w:r>
    </w:p>
    <w:p>
      <w:pPr>
        <w:spacing w:before="0" w:after="80" w:line="240" w:lineRule="auto"/>
        <w:jc w:val="center"/>
      </w:pPr>
      <w:r>
        <w:drawing>
          <wp:inline xmlns:a="http://schemas.openxmlformats.org/drawingml/2006/main" xmlns:pic="http://schemas.openxmlformats.org/drawingml/2006/picture">
            <wp:extent cx="6336000" cy="2730378"/>
            <wp:docPr id="26" name="Picture 9053"/>
            <wp:cNvGraphicFramePr>
              <a:graphicFrameLocks noChangeAspect="1"/>
            </wp:cNvGraphicFramePr>
            <a:graphic>
              <a:graphicData uri="http://schemas.openxmlformats.org/drawingml/2006/picture">
                <pic:pic>
                  <pic:nvPicPr>
                    <pic:cNvPr id="0" name="x6.j.jpg"/>
                    <pic:cNvPicPr/>
                  </pic:nvPicPr>
                  <pic:blipFill>
                    <a:blip r:embed="rId23"/>
                    <a:stretch>
                      <a:fillRect/>
                    </a:stretch>
                  </pic:blipFill>
                  <pic:spPr>
                    <a:xfrm>
                      <a:off x="0" y="0"/>
                      <a:ext cx="6336000" cy="273037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7" name="Picture 9054"/>
            <wp:cNvGraphicFramePr>
              <a:graphicFrameLocks noChangeAspect="1"/>
            </wp:cNvGraphicFramePr>
            <a:graphic>
              <a:graphicData uri="http://schemas.openxmlformats.org/drawingml/2006/picture">
                <pic:pic>
                  <pic:nvPicPr>
                    <pic:cNvPr id="0" name="ico_8eba3796ad497c7a142d47da7c90fea0.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FOR FURTHER INFORMATION</w:t>
      </w:r>
    </w:p>
    <w:p>
      <w:pPr>
        <w:spacing w:before="0" w:after="80" w:line="312" w:lineRule="auto"/>
      </w:pPr>
      <w:r>
        <w:rPr>
          <w:rFonts w:ascii="Arial" w:hAnsi="Arial" w:cs="Arial" w:eastAsia="Arial"/>
          <w:color w:val="0E1E3A"/>
          <w:sz w:val="20"/>
          <w:szCs w:val="20"/>
        </w:rPr>
        <w:t>Alkhabeer Capital</w:t>
      </w:r>
      <w:r>
        <w:br/>
      </w:r>
      <w:r>
        <w:rPr>
          <w:rFonts w:ascii="Arial" w:hAnsi="Arial" w:cs="Arial" w:eastAsia="Arial"/>
          <w:color w:val="0E1E3A"/>
          <w:sz w:val="20"/>
          <w:szCs w:val="20"/>
        </w:rPr>
        <w:t>PO Box 128289, Jeddah 21362</w:t>
      </w:r>
      <w:r>
        <w:br/>
      </w:r>
      <w:r>
        <w:rPr>
          <w:rFonts w:ascii="Arial" w:hAnsi="Arial" w:cs="Arial" w:eastAsia="Arial"/>
          <w:color w:val="0E1E3A"/>
          <w:sz w:val="20"/>
          <w:szCs w:val="20"/>
        </w:rPr>
        <w:t>Kingdom of Saudi Arabia</w:t>
      </w:r>
      <w:r>
        <w:br/>
      </w:r>
      <w:r>
        <w:rPr>
          <w:rFonts w:ascii="Arial" w:hAnsi="Arial" w:cs="Arial" w:eastAsia="Arial"/>
          <w:color w:val="0E1E3A"/>
          <w:sz w:val="20"/>
          <w:szCs w:val="20"/>
        </w:rPr>
        <w:t xml:space="preserve">Tel: </w:t>
      </w:r>
      <w:r>
        <w:rPr>
          <w:rFonts w:ascii="Arial" w:hAnsi="Arial" w:cs="Arial" w:eastAsia="Arial"/>
          <w:color w:val="0E1E3A"/>
          <w:sz w:val="20"/>
          <w:szCs w:val="20"/>
        </w:rPr>
        <w:t>+966 12 658 8888</w:t>
      </w:r>
      <w:r>
        <w:br/>
      </w:r>
      <w:r>
        <w:rPr>
          <w:rFonts w:ascii="Arial" w:hAnsi="Arial" w:cs="Arial" w:eastAsia="Arial"/>
          <w:color w:val="0E1E3A"/>
          <w:sz w:val="20"/>
          <w:szCs w:val="20"/>
        </w:rPr>
        <w:t xml:space="preserve">Fax: </w:t>
      </w:r>
      <w:r>
        <w:rPr>
          <w:rFonts w:ascii="Arial" w:hAnsi="Arial" w:cs="Arial" w:eastAsia="Arial"/>
          <w:color w:val="0E1E3A"/>
          <w:sz w:val="20"/>
          <w:szCs w:val="20"/>
        </w:rPr>
        <w:t>+966 12 658 6663</w:t>
      </w:r>
      <w:r>
        <w:br/>
      </w:r>
      <w:r>
        <w:rPr>
          <w:rFonts w:ascii="Arial" w:hAnsi="Arial" w:cs="Arial" w:eastAsia="Arial"/>
          <w:color w:val="0E1E3A"/>
          <w:sz w:val="20"/>
          <w:szCs w:val="20"/>
        </w:rPr>
        <w:t>Email: info@alkhabeer.com</w:t>
      </w:r>
      <w:r>
        <w:br/>
      </w:r>
      <w:r>
        <w:rPr>
          <w:rFonts w:ascii="Arial" w:hAnsi="Arial" w:cs="Arial" w:eastAsia="Arial"/>
          <w:color w:val="0E1E3A"/>
          <w:sz w:val="20"/>
          <w:szCs w:val="20"/>
        </w:rPr>
        <w:t>CR No: 4030177445</w:t>
      </w:r>
      <w:r>
        <w:br/>
      </w:r>
      <w:r>
        <w:rPr>
          <w:rFonts w:ascii="Arial" w:hAnsi="Arial" w:cs="Arial" w:eastAsia="Arial"/>
          <w:color w:val="0E1E3A"/>
          <w:sz w:val="20"/>
          <w:szCs w:val="20"/>
        </w:rPr>
        <w:t>CMA License No: 07074-37</w:t>
      </w:r>
      <w:r>
        <w:br/>
      </w:r>
      <w:r>
        <w:rPr>
          <w:rFonts w:ascii="Arial" w:hAnsi="Arial" w:cs="Arial" w:eastAsia="Arial"/>
          <w:color w:val="0E1E3A"/>
          <w:sz w:val="20"/>
          <w:szCs w:val="20"/>
        </w:rPr>
        <w:t>www.alkhabeer.com</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8" name="Picture 9055"/>
            <wp:cNvGraphicFramePr>
              <a:graphicFrameLocks noChangeAspect="1"/>
            </wp:cNvGraphicFramePr>
            <a:graphic>
              <a:graphicData uri="http://schemas.openxmlformats.org/drawingml/2006/picture">
                <pic:pic>
                  <pic:nvPicPr>
                    <pic:cNvPr id="0" name="ico_31799530e5dd3dc5b4ca7f2d37945432.png"/>
                    <pic:cNvPicPr/>
                  </pic:nvPicPr>
                  <pic:blipFill>
                    <a:blip r:embed="rId2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DISCLAIMER</w:t>
      </w:r>
    </w:p>
    <w:p>
      <w:pPr>
        <w:spacing w:before="0" w:after="80" w:line="312" w:lineRule="auto"/>
      </w:pPr>
      <w:r>
        <w:rPr>
          <w:rFonts w:ascii="Arial" w:hAnsi="Arial" w:cs="Arial" w:eastAsia="Arial"/>
          <w:color w:val="5A6478"/>
          <w:sz w:val="17"/>
          <w:szCs w:val="17"/>
        </w:rPr>
        <w:t>This document does not constitute an offer to buy, subscribe or participate in any way in Alkhabeer Diversified Income Traded Fund, nor shall it (or any part of it) form the basis of, or be relied on, in connection with, or act as inducement to enter into any contract whatsoever. Prospective investors should read carefully Alkhabeer Diversified Income Traded Fund’s Terms and Conditions and their contents related to investment risks, as well as other Alkhabeer Diversified Income Traded Fund documents prior to making any investment decision. Alkhabeer Diversified Income Traded Fund documents are available on Alkhabeer Capital’s website www.alkhabeer.com. This investment is not a cash deposit with a local bank. The value of the amount invested and any other income which may arise therefrom may increase or decrease. All prospective investors are required to make their own determination with their own financial and legal advisors and to evaluate all risks involved. No assurance can be given that the targeted and projected results will be achieved. Moreover, past performance of Alkhabeer Diversified Income Traded Fund is not a guarantee of the Fund’s future results. By investing in the Fund, the investor acknowledges having read and accepted Alkhabeer Diversified Income Traded Fund’s Terms and Conditions, The Fund Manager or any of its affiliates shall not be liable for any financial loss which may be suffered by the Fund, unless such loss is deliberately caused by the Fund Manager.</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spacing w:before="0" w:after="0" w:line="240" w:lineRule="auto"/>
    </w:pPr>
    <w:r/>
    <w:r>
      <w:rPr>
        <w:rFonts w:ascii="Arial" w:hAnsi="Arial" w:cs="Arial" w:eastAsia="Arial"/>
        <w:color w:val="5A6478"/>
        <w:sz w:val="15"/>
        <w:szCs w:val="15"/>
      </w:rPr>
      <w:t>Quarterly Statement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Arial" w:hAnsi="Arial" w:cs="Arial" w:eastAsia="Arial"/>
      <w:b/>
      <w:bCs/>
      <w:color w:val="12284B"/>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cs="Arial" w:eastAsia="Arial"/>
      <w:b/>
      <w:bCs/>
      <w:color w:val="12284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rial" w:hAnsi="Arial" w:cs="Arial" w:eastAsia="Arial"/>
      <w:b/>
      <w:bCs/>
      <w:color w:val="1228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png"/><Relationship Id="rId20" Type="http://schemas.openxmlformats.org/officeDocument/2006/relationships/image" Target="media/image8.jp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jpg"/><Relationship Id="rId24" Type="http://schemas.openxmlformats.org/officeDocument/2006/relationships/image" Target="media/image12.png"/><Relationship Id="rId25"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Alkhabeer Diversified Income Traded Fund — Quarterly Statement Q1 2025</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