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30"/>
            <wp:cNvGraphicFramePr/>
            <a:graphic>
              <a:graphicData uri="http://schemas.openxmlformats.org/drawingml/2006/picture">
                <pic:pic>
                  <pic:nvPicPr>
                    <pic:cNvPr id="9030" name="banner9030.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 name="Picture 9031"/>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أ.</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هدف الصندوق:</w:t>
      </w:r>
    </w:p>
    <w:p>
      <w:pPr>
        <w:bidi w:val="1"/>
        <w:spacing w:before="0" w:after="80" w:line="312" w:lineRule="auto"/>
      </w:pPr>
      <w:r>
        <w:rPr>
          <w:rFonts w:ascii="Arial" w:hAnsi="Arial" w:cs="Arial" w:eastAsia="Arial"/>
          <w:color w:val="0E1E3A"/>
          <w:sz w:val="20"/>
          <w:szCs w:val="20"/>
          <w:rtl/>
        </w:rPr>
        <w:t>الهدف الاستثماري للصندوق هو تحقيق دخل دوري للمستثمرين من خلال الاستثمار في أصول مدرّة للدخل في الصكوك، وصفقات التمويل التجاري، وصفقات الإجارة، وصناديق الدخل، وصفقات المرابحة، إما بشكل مباشر، أو من خلال صناديق استثمار متوافقة مع ضوابط لجنة الرقابة الشرعية.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3" name="Picture 903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ب.</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بيانات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تاريخ بدء الصندوق</w:t>
            </w:r>
          </w:p>
        </w:tc>
        <w:tc>
          <w:tcPr>
            <w:tcW w:type="dxa" w:w="6860"/>
          </w:tcPr>
          <w:p>
            <w:pPr>
              <w:bidi w:val="1"/>
              <w:spacing w:before="0" w:after="0" w:line="276" w:lineRule="auto"/>
            </w:pPr>
            <w:r>
              <w:rPr>
                <w:rFonts w:ascii="Arial" w:hAnsi="Arial" w:cs="Arial" w:eastAsia="Arial"/>
                <w:b/>
                <w:bCs/>
                <w:color w:val="0E1E3A"/>
                <w:sz w:val="18"/>
                <w:szCs w:val="18"/>
                <w:rtl/>
              </w:rPr>
              <w:t>19 يناير 2021م</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عند الطرح</w:t>
            </w:r>
          </w:p>
        </w:tc>
        <w:tc>
          <w:tcPr>
            <w:tcW w:type="dxa" w:w="6860"/>
          </w:tcPr>
          <w:p>
            <w:pPr>
              <w:bidi w:val="1"/>
              <w:spacing w:before="0" w:after="0" w:line="276" w:lineRule="auto"/>
            </w:pPr>
            <w:r>
              <w:rPr>
                <w:rFonts w:ascii="Arial" w:hAnsi="Arial" w:cs="Arial" w:eastAsia="Arial"/>
                <w:b/>
                <w:bCs/>
                <w:color w:val="0E1E3A"/>
                <w:sz w:val="18"/>
                <w:szCs w:val="18"/>
                <w:rtl/>
              </w:rPr>
              <w:t>10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الوحدة</w:t>
            </w:r>
          </w:p>
        </w:tc>
        <w:tc>
          <w:tcPr>
            <w:tcW w:type="dxa" w:w="6860"/>
          </w:tcPr>
          <w:p>
            <w:pPr>
              <w:bidi w:val="1"/>
              <w:spacing w:before="0" w:after="0" w:line="276" w:lineRule="auto"/>
            </w:pPr>
            <w:r>
              <w:rPr>
                <w:rFonts w:ascii="Arial" w:hAnsi="Arial" w:cs="Arial" w:eastAsia="Arial"/>
                <w:b/>
                <w:bCs/>
                <w:color w:val="0E1E3A"/>
                <w:sz w:val="18"/>
                <w:szCs w:val="18"/>
                <w:rtl/>
              </w:rPr>
              <w:t>8.9501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حجم الصندوق *</w:t>
            </w:r>
          </w:p>
        </w:tc>
        <w:tc>
          <w:tcPr>
            <w:tcW w:type="dxa" w:w="6860"/>
          </w:tcPr>
          <w:p>
            <w:pPr>
              <w:bidi w:val="1"/>
              <w:spacing w:before="0" w:after="0" w:line="276" w:lineRule="auto"/>
            </w:pPr>
            <w:r>
              <w:rPr>
                <w:rFonts w:ascii="Arial" w:hAnsi="Arial" w:cs="Arial" w:eastAsia="Arial"/>
                <w:b/>
                <w:bCs/>
                <w:color w:val="0E1E3A"/>
                <w:sz w:val="18"/>
                <w:szCs w:val="18"/>
                <w:rtl/>
              </w:rPr>
              <w:t>425,563,392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نوع الصندوق</w:t>
            </w:r>
          </w:p>
        </w:tc>
        <w:tc>
          <w:tcPr>
            <w:tcW w:type="dxa" w:w="6860"/>
          </w:tcPr>
          <w:p>
            <w:pPr>
              <w:bidi w:val="1"/>
              <w:spacing w:before="0" w:after="0" w:line="276" w:lineRule="auto"/>
            </w:pPr>
            <w:r>
              <w:rPr>
                <w:rFonts w:ascii="Arial" w:hAnsi="Arial" w:cs="Arial" w:eastAsia="Arial"/>
                <w:b/>
                <w:bCs/>
                <w:color w:val="0E1E3A"/>
                <w:sz w:val="18"/>
                <w:szCs w:val="18"/>
                <w:rtl/>
              </w:rPr>
              <w:t>صندوق استثمار عام متداول مغلق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عملة الصندوق</w:t>
            </w:r>
          </w:p>
        </w:tc>
        <w:tc>
          <w:tcPr>
            <w:tcW w:type="dxa" w:w="6860"/>
          </w:tcPr>
          <w:p>
            <w:pPr>
              <w:bidi w:val="1"/>
              <w:spacing w:before="0" w:after="0" w:line="276" w:lineRule="auto"/>
            </w:pPr>
            <w:r>
              <w:rPr>
                <w:rFonts w:ascii="Arial" w:hAnsi="Arial" w:cs="Arial" w:eastAsia="Arial"/>
                <w:b/>
                <w:bCs/>
                <w:color w:val="0E1E3A"/>
                <w:sz w:val="18"/>
                <w:szCs w:val="18"/>
                <w:rtl/>
              </w:rPr>
              <w:t>ريال سعودي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مستوى المخاطر</w:t>
            </w:r>
          </w:p>
        </w:tc>
        <w:tc>
          <w:tcPr>
            <w:tcW w:type="dxa" w:w="6860"/>
          </w:tcPr>
          <w:p>
            <w:pPr>
              <w:bidi w:val="1"/>
              <w:spacing w:before="0" w:after="0" w:line="276" w:lineRule="auto"/>
            </w:pPr>
            <w:r>
              <w:rPr>
                <w:rFonts w:ascii="Arial" w:hAnsi="Arial" w:cs="Arial" w:eastAsia="Arial"/>
                <w:b/>
                <w:bCs/>
                <w:color w:val="0E1E3A"/>
                <w:sz w:val="18"/>
                <w:szCs w:val="18"/>
                <w:rtl/>
              </w:rPr>
              <w:t>مرتفع</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المؤشر الاسترشادي</w:t>
            </w:r>
          </w:p>
        </w:tc>
        <w:tc>
          <w:tcPr>
            <w:tcW w:type="dxa" w:w="6860"/>
          </w:tcPr>
          <w:p>
            <w:pPr>
              <w:bidi w:val="1"/>
              <w:spacing w:before="0" w:after="0" w:line="276" w:lineRule="auto"/>
            </w:pPr>
            <w:r>
              <w:rPr>
                <w:rFonts w:ascii="Arial" w:hAnsi="Arial" w:cs="Arial" w:eastAsia="Arial"/>
                <w:b/>
                <w:bCs/>
                <w:color w:val="0E1E3A"/>
                <w:sz w:val="18"/>
                <w:szCs w:val="18"/>
                <w:rtl/>
              </w:rPr>
              <w:t>مؤشر معدل فائدة التمويل المضمون لليلة واحدة (SOFR) لمدة 12 شهرا، زائدا 300 نقطة أساس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مرات التوزيع (إن وُجد)</w:t>
            </w:r>
          </w:p>
        </w:tc>
        <w:tc>
          <w:tcPr>
            <w:tcW w:type="dxa" w:w="6860"/>
          </w:tcPr>
          <w:p>
            <w:pPr>
              <w:bidi w:val="1"/>
              <w:spacing w:before="0" w:after="0" w:line="276" w:lineRule="auto"/>
            </w:pPr>
            <w:r>
              <w:rPr>
                <w:rFonts w:ascii="Arial" w:hAnsi="Arial" w:cs="Arial" w:eastAsia="Arial"/>
                <w:b/>
                <w:bCs/>
                <w:color w:val="0E1E3A"/>
                <w:sz w:val="18"/>
                <w:szCs w:val="18"/>
                <w:rtl/>
              </w:rPr>
              <w:t>بشكل نصف سنوي خلال شهري فبراير وأغسطس سنويا</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رسوم الإدارة للصناديق المستثمر فيها</w:t>
            </w:r>
          </w:p>
        </w:tc>
        <w:tc>
          <w:tcPr>
            <w:tcW w:type="dxa" w:w="6860"/>
          </w:tcPr>
          <w:p>
            <w:pPr>
              <w:bidi w:val="1"/>
              <w:spacing w:before="0" w:after="0" w:line="276" w:lineRule="auto"/>
            </w:pPr>
            <w:r>
              <w:rPr>
                <w:rFonts w:ascii="Arial" w:hAnsi="Arial" w:cs="Arial" w:eastAsia="Arial"/>
                <w:b/>
                <w:bCs/>
                <w:color w:val="0E1E3A"/>
                <w:sz w:val="18"/>
                <w:szCs w:val="18"/>
              </w:rPr>
              <w:t>‎0.25%‎</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مستشار الاستثمار ومدير الصندوق من الباطن</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أيام المتوسط المرجح (إن وُجد)</w:t>
            </w:r>
          </w:p>
        </w:tc>
        <w:tc>
          <w:tcPr>
            <w:tcW w:type="dxa" w:w="6860"/>
          </w:tcPr>
          <w:p>
            <w:pPr>
              <w:bidi w:val="1"/>
              <w:spacing w:before="0" w:after="0" w:line="276" w:lineRule="auto"/>
            </w:pPr>
            <w:r>
              <w:rPr>
                <w:rFonts w:ascii="Arial" w:hAnsi="Arial" w:cs="Arial" w:eastAsia="Arial"/>
                <w:b/>
                <w:bCs/>
                <w:color w:val="0E1E3A"/>
                <w:sz w:val="18"/>
                <w:szCs w:val="18"/>
                <w:rtl/>
              </w:rPr>
              <w:t>90 يوما</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إجمالي أصول الصندوق كما في تاريخ 31 مارس 2026م (غير مدققة).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4" name="Picture 903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ج.</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تعريفات:</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الانحراف المعياري</w:t>
            </w:r>
          </w:p>
        </w:tc>
        <w:tc>
          <w:tcPr>
            <w:tcW w:type="dxa" w:w="6860"/>
          </w:tcPr>
          <w:p>
            <w:pPr>
              <w:bidi w:val="1"/>
              <w:spacing w:before="0" w:after="0" w:line="276" w:lineRule="auto"/>
            </w:pPr>
            <w:r>
              <w:rPr>
                <w:rFonts w:ascii="Arial" w:hAnsi="Arial" w:cs="Arial" w:eastAsia="Arial"/>
                <w:b/>
                <w:bCs/>
                <w:color w:val="0E1E3A"/>
                <w:sz w:val="18"/>
                <w:szCs w:val="18"/>
                <w:rtl/>
              </w:rPr>
              <w:t>هو مقياس للمخاطر، ويتم حسابه على أنه التذبذب بين العوائد على مدى فترة زمنية. وكلما انخفض التقلب، كانت مجموعة العوائد أكثر تجانسا.</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مؤشر شارب</w:t>
            </w:r>
          </w:p>
        </w:tc>
        <w:tc>
          <w:tcPr>
            <w:tcW w:type="dxa" w:w="6860"/>
          </w:tcPr>
          <w:p>
            <w:pPr>
              <w:bidi w:val="1"/>
              <w:spacing w:before="0" w:after="0" w:line="276" w:lineRule="auto"/>
            </w:pPr>
            <w:r>
              <w:rPr>
                <w:rFonts w:ascii="Arial" w:hAnsi="Arial" w:cs="Arial" w:eastAsia="Arial"/>
                <w:b/>
                <w:bCs/>
                <w:color w:val="0E1E3A"/>
                <w:sz w:val="18"/>
                <w:szCs w:val="18"/>
                <w:rtl/>
              </w:rPr>
              <w:t>هو مقياس أداء معدل المخاطر، ويتم حسابه على أنه الفرق كعائد فائض لمدير الصندوق على المعدل الخالي من المخاطر، مقسوما على الانحراف المعياري. و كلما زاد معدل شارب للمحفظة، كلما كان أداؤه حسب المخاطر أفضل.</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خطأ التتبع (Tracking Error)</w:t>
            </w:r>
          </w:p>
        </w:tc>
        <w:tc>
          <w:tcPr>
            <w:tcW w:type="dxa" w:w="6860"/>
          </w:tcPr>
          <w:p>
            <w:pPr>
              <w:bidi w:val="1"/>
              <w:spacing w:before="0" w:after="0" w:line="276" w:lineRule="auto"/>
            </w:pPr>
            <w:r>
              <w:rPr>
                <w:rFonts w:ascii="Arial" w:hAnsi="Arial" w:cs="Arial" w:eastAsia="Arial"/>
                <w:b/>
                <w:bCs/>
                <w:color w:val="0E1E3A"/>
                <w:sz w:val="18"/>
                <w:szCs w:val="18"/>
                <w:rtl/>
              </w:rPr>
              <w:t>هو مقياس للمخاطر، ويتم حسابه على أنه الانحراف المعياري بين عائد مدير الصندوق وعائد المؤشر. وكلما انخفض خطأ التتبع، كلما انحرف مدير الصندوق عن المؤشر.</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بيتا (Beta)</w:t>
            </w:r>
          </w:p>
        </w:tc>
        <w:tc>
          <w:tcPr>
            <w:tcW w:type="dxa" w:w="6860"/>
          </w:tcPr>
          <w:p>
            <w:pPr>
              <w:bidi w:val="1"/>
              <w:spacing w:before="0" w:after="0" w:line="276" w:lineRule="auto"/>
            </w:pPr>
            <w:r>
              <w:rPr>
                <w:rFonts w:ascii="Arial" w:hAnsi="Arial" w:cs="Arial" w:eastAsia="Arial"/>
                <w:b/>
                <w:bCs/>
                <w:color w:val="0E1E3A"/>
                <w:sz w:val="18"/>
                <w:szCs w:val="18"/>
                <w:rtl/>
              </w:rPr>
              <w:t>هو مقياس لمتوسط الحساسية التاريخية لعوائد الصندوق مقارنة بعوائد السوق، ويتم احتسابها عن طريق حساب تغاير سعر الوحدة ومؤشر السوق على تباين مؤشر السوق.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ألفا (Alpha)</w:t>
            </w:r>
          </w:p>
        </w:tc>
        <w:tc>
          <w:tcPr>
            <w:tcW w:type="dxa" w:w="6860"/>
          </w:tcPr>
          <w:p>
            <w:pPr>
              <w:bidi w:val="1"/>
              <w:spacing w:before="0" w:after="0" w:line="276" w:lineRule="auto"/>
            </w:pPr>
            <w:r>
              <w:rPr>
                <w:rFonts w:ascii="Arial" w:hAnsi="Arial" w:cs="Arial" w:eastAsia="Arial"/>
                <w:b/>
                <w:bCs/>
                <w:color w:val="0E1E3A"/>
                <w:sz w:val="18"/>
                <w:szCs w:val="18"/>
                <w:rtl/>
              </w:rPr>
              <w:t>هو مقياس أي تفوق حققه أداء الصندوق مقارنة بأداء المؤشر المرتبط به.</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مؤشر المعلومات</w:t>
            </w:r>
          </w:p>
        </w:tc>
        <w:tc>
          <w:tcPr>
            <w:tcW w:type="dxa" w:w="6860"/>
          </w:tcPr>
          <w:p>
            <w:pPr>
              <w:bidi w:val="1"/>
              <w:spacing w:before="0" w:after="0" w:line="276" w:lineRule="auto"/>
            </w:pPr>
            <w:r>
              <w:rPr>
                <w:rFonts w:ascii="Arial" w:hAnsi="Arial" w:cs="Arial" w:eastAsia="Arial"/>
                <w:b/>
                <w:bCs/>
                <w:color w:val="0E1E3A"/>
                <w:sz w:val="18"/>
                <w:szCs w:val="18"/>
                <w:rtl/>
              </w:rPr>
              <w:t>هو مقياس أداء معدل المخاطر، ويتم حسابه على أنه العائد النشط لمدير الصندوق مقسوما على خطأ التتبع الخاص به. وكلما ارتفع معدل المعلومات، كلما ازدادت قدرة مدير الصندوق على تحقيق عوائد زائدة لكل وحدة من المخاطر الزائدة.</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5" name="Picture 903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د.</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تعليق مدير الصندوق:</w:t>
      </w:r>
    </w:p>
    <w:p>
      <w:pPr>
        <w:bidi w:val="1"/>
        <w:spacing w:before="0" w:after="80" w:line="312" w:lineRule="auto"/>
      </w:pPr>
      <w:r>
        <w:rPr>
          <w:rFonts w:ascii="Arial" w:hAnsi="Arial" w:cs="Arial" w:eastAsia="Arial"/>
          <w:color w:val="0E1E3A"/>
          <w:sz w:val="20"/>
          <w:szCs w:val="20"/>
          <w:rtl/>
        </w:rPr>
        <w:t>يواصل مدير الصندوق متابعة عملية التخارج من صندوق الدخل "برستيج بريميوم الزراعي" مع شركة كي بي إم جي (KPMG LLP) المشرفة على التخارج الاختياري، عن كثب، وقد تم تطبيق أحدث المستجدات التي استلمها مدير الصندوق لسعر الوحدة في صندوق الدخل "برستيج بريميوم الزراعي"(25.87 دولار للوحدة)، على آخر تقييم لصندوق "الخبير للدخل المتنوع المتداول".</w:t>
      </w:r>
    </w:p>
    <w:p>
      <w:pPr>
        <w:bidi w:val="1"/>
        <w:spacing w:before="0" w:after="80" w:line="312" w:lineRule="auto"/>
      </w:pPr>
      <w:r>
        <w:rPr>
          <w:rFonts w:ascii="Arial" w:hAnsi="Arial" w:cs="Arial" w:eastAsia="Arial"/>
          <w:color w:val="0E1E3A"/>
          <w:sz w:val="20"/>
          <w:szCs w:val="20"/>
          <w:rtl/>
        </w:rPr>
        <w:t>كذلك يؤكد مدير الصندوق أيضا أن عملية التخارج من الاستثمار التي يعمل عليها مدير الصندوق تنطوي على عدة مخاطر، تشمل:</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حالات التأخير المحتملة في المسار الزمني للتخارج أو تحقيق عوائد أقل من المتوقع.</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انخفاض قيمة الاستثمار في حال بيع الأصول المستثمر بها بأقل من قيمتها الدفترية.</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المخاطرة في عدم استرداد رأس المال المستثمر به كاملا؛ وذلك إذا واجه الصندوق بعد تصفيته التزامات أو نفقات إضافية غير متوقعة.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6" name="Picture 903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ه.</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بيانات الاتصال:</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رقم الهاتف</w:t>
            </w:r>
          </w:p>
        </w:tc>
        <w:tc>
          <w:tcPr>
            <w:tcW w:type="dxa" w:w="6860"/>
          </w:tcPr>
          <w:p>
            <w:pPr>
              <w:bidi w:val="1"/>
              <w:spacing w:before="0" w:after="0" w:line="276" w:lineRule="auto"/>
            </w:pPr>
            <w:r>
              <w:rPr>
                <w:rFonts w:ascii="Arial" w:hAnsi="Arial" w:cs="Arial" w:eastAsia="Arial"/>
                <w:b/>
                <w:bCs/>
                <w:color w:val="0E1E3A"/>
                <w:sz w:val="18"/>
                <w:szCs w:val="18"/>
              </w:rPr>
              <w:t>‎+966 12 658 8888‎</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الموقع الإلكتروني</w:t>
            </w:r>
          </w:p>
        </w:tc>
        <w:tc>
          <w:tcPr>
            <w:tcW w:type="dxa" w:w="6860"/>
          </w:tcPr>
          <w:p>
            <w:pPr>
              <w:bidi w:val="1"/>
              <w:spacing w:before="0" w:after="0" w:line="276" w:lineRule="auto"/>
            </w:pPr>
            <w:r>
              <w:rPr>
                <w:rFonts w:ascii="Arial" w:hAnsi="Arial" w:cs="Arial" w:eastAsia="Arial"/>
                <w:b/>
                <w:bCs/>
                <w:color w:val="0E1E3A"/>
                <w:sz w:val="18"/>
                <w:szCs w:val="18"/>
                <w:rtl/>
              </w:rPr>
              <w:t>www.alkhabeer.com</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البريد الإلكتروني</w:t>
            </w:r>
          </w:p>
        </w:tc>
        <w:tc>
          <w:tcPr>
            <w:tcW w:type="dxa" w:w="6860"/>
          </w:tcPr>
          <w:p>
            <w:pPr>
              <w:bidi w:val="1"/>
              <w:spacing w:before="0" w:after="0" w:line="276" w:lineRule="auto"/>
            </w:pPr>
            <w:r>
              <w:rPr>
                <w:rFonts w:ascii="Arial" w:hAnsi="Arial" w:cs="Arial" w:eastAsia="Arial"/>
                <w:b/>
                <w:bCs/>
                <w:color w:val="0E1E3A"/>
                <w:sz w:val="18"/>
                <w:szCs w:val="18"/>
                <w:rtl/>
              </w:rPr>
              <w:t>info@alkhabeer.com</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7" name="Picture 903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و.</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معلومات الأسعار كما في نهاية الربع المعني (مارس 2026م):</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كما في نهاية الربع الأول (31 مارس 2026م)</w:t>
            </w:r>
          </w:p>
        </w:tc>
        <w:tc>
          <w:tcPr>
            <w:tcW w:type="dxa" w:w="6860"/>
          </w:tcPr>
          <w:p>
            <w:pPr>
              <w:bidi w:val="1"/>
              <w:spacing w:before="0" w:after="0" w:line="276" w:lineRule="auto"/>
            </w:pPr>
            <w:r>
              <w:rPr>
                <w:rFonts w:ascii="Arial" w:hAnsi="Arial" w:cs="Arial" w:eastAsia="Arial"/>
                <w:b/>
                <w:bCs/>
                <w:color w:val="0E1E3A"/>
                <w:sz w:val="18"/>
                <w:szCs w:val="18"/>
                <w:rtl/>
              </w:rPr>
              <w:t>4.89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التغير في سعر الوحدة مقارنة بالربع السابق</w:t>
            </w:r>
          </w:p>
        </w:tc>
        <w:tc>
          <w:tcPr>
            <w:tcW w:type="dxa" w:w="6860"/>
          </w:tcPr>
          <w:p>
            <w:pPr>
              <w:bidi w:val="1"/>
              <w:spacing w:before="0" w:after="0" w:line="276" w:lineRule="auto"/>
            </w:pPr>
            <w:r>
              <w:rPr>
                <w:rFonts w:ascii="Arial" w:hAnsi="Arial" w:cs="Arial" w:eastAsia="Arial"/>
                <w:b/>
                <w:bCs/>
                <w:color w:val="0E1E3A"/>
                <w:sz w:val="18"/>
                <w:szCs w:val="18"/>
              </w:rPr>
              <w:t>‎-8.08%‎</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المزدوج لصناديق أسواق النقد، وصناديق أدوات الدين ذات الدخل الثابت</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وحدات الصندوق</w:t>
            </w:r>
          </w:p>
        </w:tc>
        <w:tc>
          <w:tcPr>
            <w:tcW w:type="dxa" w:w="6860"/>
          </w:tcPr>
          <w:p>
            <w:pPr>
              <w:bidi w:val="1"/>
              <w:spacing w:before="0" w:after="0" w:line="276" w:lineRule="auto"/>
            </w:pPr>
            <w:r>
              <w:rPr>
                <w:rFonts w:ascii="Arial" w:hAnsi="Arial" w:cs="Arial" w:eastAsia="Arial"/>
                <w:b/>
                <w:bCs/>
                <w:color w:val="0E1E3A"/>
                <w:sz w:val="18"/>
                <w:szCs w:val="18"/>
                <w:rtl/>
              </w:rPr>
              <w:t>47,281,470 وحدة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أصول الصندوق</w:t>
            </w:r>
          </w:p>
        </w:tc>
        <w:tc>
          <w:tcPr>
            <w:tcW w:type="dxa" w:w="6860"/>
          </w:tcPr>
          <w:p>
            <w:pPr>
              <w:bidi w:val="1"/>
              <w:spacing w:before="0" w:after="0" w:line="276" w:lineRule="auto"/>
            </w:pPr>
            <w:r>
              <w:rPr>
                <w:rFonts w:ascii="Arial" w:hAnsi="Arial" w:cs="Arial" w:eastAsia="Arial"/>
                <w:b/>
                <w:bCs/>
                <w:color w:val="0E1E3A"/>
                <w:sz w:val="18"/>
                <w:szCs w:val="18"/>
                <w:rtl/>
              </w:rPr>
              <w:t>423,175,560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مكرر الربحية (P/E)</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8" name="Picture 903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ز.</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معلومات الصندوق كما في نهاية الربع الأول (مارس 2026م):</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bidi w:val="1"/>
              <w:spacing w:before="0" w:after="0" w:line="264" w:lineRule="auto"/>
            </w:pPr>
            <w:r>
              <w:rPr>
                <w:rFonts w:ascii="Arial" w:hAnsi="Arial" w:cs="Arial" w:eastAsia="Arial"/>
                <w:b/>
                <w:bCs/>
                <w:color w:val="FFFFFF"/>
                <w:sz w:val="17"/>
                <w:szCs w:val="17"/>
                <w:rtl/>
              </w:rPr>
              <w:t>البند</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ريال سعودي</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w:t>
            </w:r>
          </w:p>
        </w:tc>
      </w:tr>
      <w:tr>
        <w:tc>
          <w:tcPr>
            <w:tcW w:type="dxa" w:w="3326"/>
          </w:tcPr>
          <w:p>
            <w:pPr>
              <w:bidi w:val="1"/>
              <w:spacing w:before="0" w:after="0" w:line="264" w:lineRule="auto"/>
            </w:pPr>
            <w:r>
              <w:rPr>
                <w:rFonts w:ascii="Arial" w:hAnsi="Arial" w:cs="Arial" w:eastAsia="Arial"/>
                <w:color w:val="0E1E3A"/>
                <w:sz w:val="17"/>
                <w:szCs w:val="17"/>
                <w:rtl/>
              </w:rPr>
              <w:t>نسبة الأتعاب الإجمالية (TER) من متوسط صافي أصول الصندوق *</w:t>
            </w:r>
          </w:p>
        </w:tc>
        <w:tc>
          <w:tcPr>
            <w:tcW w:type="dxa" w:w="3326"/>
          </w:tcPr>
          <w:p>
            <w:pPr>
              <w:bidi w:val="1"/>
              <w:spacing w:before="0" w:after="0" w:line="264" w:lineRule="auto"/>
            </w:pPr>
            <w:r>
              <w:rPr>
                <w:rFonts w:ascii="Arial" w:hAnsi="Arial" w:cs="Arial" w:eastAsia="Arial"/>
                <w:color w:val="0E1E3A"/>
                <w:sz w:val="17"/>
                <w:szCs w:val="17"/>
                <w:rtl/>
              </w:rPr>
              <w:t>1,755,903 ر.س.</w:t>
            </w:r>
          </w:p>
        </w:tc>
        <w:tc>
          <w:tcPr>
            <w:tcW w:type="dxa" w:w="3326"/>
          </w:tcPr>
          <w:p>
            <w:pPr>
              <w:bidi w:val="1"/>
              <w:spacing w:before="0" w:after="0" w:line="264" w:lineRule="auto"/>
            </w:pPr>
            <w:r>
              <w:rPr>
                <w:rFonts w:ascii="Arial" w:hAnsi="Arial" w:cs="Arial" w:eastAsia="Arial"/>
                <w:color w:val="0E1E3A"/>
                <w:sz w:val="17"/>
                <w:szCs w:val="17"/>
              </w:rPr>
              <w:t>‎0.41%‎</w:t>
            </w:r>
          </w:p>
        </w:tc>
      </w:tr>
      <w:tr>
        <w:tc>
          <w:tcPr>
            <w:tcW w:type="dxa" w:w="3326"/>
          </w:tcPr>
          <w:p>
            <w:pPr>
              <w:bidi w:val="1"/>
              <w:spacing w:before="0" w:after="0" w:line="264" w:lineRule="auto"/>
            </w:pPr>
            <w:r>
              <w:rPr>
                <w:rFonts w:ascii="Arial" w:hAnsi="Arial" w:cs="Arial" w:eastAsia="Arial"/>
                <w:color w:val="0E1E3A"/>
                <w:sz w:val="17"/>
                <w:szCs w:val="17"/>
                <w:rtl/>
              </w:rPr>
              <w:t>نسبة الاقتراض من القيمة الإجمالية لأصول الصندوق</w:t>
            </w:r>
          </w:p>
        </w:tc>
        <w:tc>
          <w:tcPr>
            <w:tcW w:type="dxa" w:w="3326"/>
          </w:tcPr>
          <w:p>
            <w:pPr>
              <w:bidi w:val="1"/>
              <w:spacing w:before="0" w:after="0" w:line="264" w:lineRule="auto"/>
            </w:pPr>
            <w:r>
              <w:rPr>
                <w:rFonts w:ascii="Arial" w:hAnsi="Arial" w:cs="Arial" w:eastAsia="Arial"/>
                <w:color w:val="0E1E3A"/>
                <w:sz w:val="17"/>
                <w:szCs w:val="17"/>
                <w:rtl/>
              </w:rPr>
              <w:t>لا يوجد</w:t>
            </w:r>
          </w:p>
        </w:tc>
        <w:tc>
          <w:tcPr>
            <w:tcW w:type="dxa" w:w="3326"/>
          </w:tcPr>
          <w:p>
            <w:pPr>
              <w:bidi w:val="1"/>
              <w:spacing w:before="0" w:after="0" w:line="264" w:lineRule="auto"/>
            </w:pPr>
            <w:r>
              <w:rPr>
                <w:rFonts w:ascii="Arial" w:hAnsi="Arial" w:cs="Arial" w:eastAsia="Arial"/>
                <w:color w:val="0E1E3A"/>
                <w:sz w:val="17"/>
                <w:szCs w:val="17"/>
                <w:rtl/>
              </w:rPr>
              <w:t>لا يوجد</w:t>
            </w:r>
          </w:p>
        </w:tc>
      </w:tr>
      <w:tr>
        <w:tc>
          <w:tcPr>
            <w:tcW w:type="dxa" w:w="3326"/>
          </w:tcPr>
          <w:p>
            <w:pPr>
              <w:bidi w:val="1"/>
              <w:spacing w:before="0" w:after="0" w:line="264" w:lineRule="auto"/>
            </w:pPr>
            <w:r>
              <w:rPr>
                <w:rFonts w:ascii="Arial" w:hAnsi="Arial" w:cs="Arial" w:eastAsia="Arial"/>
                <w:color w:val="0E1E3A"/>
                <w:sz w:val="17"/>
                <w:szCs w:val="17"/>
                <w:rtl/>
              </w:rPr>
              <w:t>مصاريف التعامل من متوسط صافي أصول الصندوق</w:t>
            </w:r>
          </w:p>
        </w:tc>
        <w:tc>
          <w:tcPr>
            <w:tcW w:type="dxa" w:w="3326"/>
          </w:tcPr>
          <w:p>
            <w:pPr>
              <w:bidi w:val="1"/>
              <w:spacing w:before="0" w:after="0" w:line="264" w:lineRule="auto"/>
            </w:pPr>
            <w:r>
              <w:rPr>
                <w:rFonts w:ascii="Arial" w:hAnsi="Arial" w:cs="Arial" w:eastAsia="Arial"/>
                <w:color w:val="0E1E3A"/>
                <w:sz w:val="17"/>
                <w:szCs w:val="17"/>
                <w:rtl/>
              </w:rPr>
              <w:t>لا يوجد</w:t>
            </w:r>
          </w:p>
        </w:tc>
        <w:tc>
          <w:tcPr>
            <w:tcW w:type="dxa" w:w="3326"/>
          </w:tcPr>
          <w:p>
            <w:pPr>
              <w:bidi w:val="1"/>
              <w:spacing w:before="0" w:after="0" w:line="264" w:lineRule="auto"/>
            </w:pPr>
            <w:r>
              <w:rPr>
                <w:rFonts w:ascii="Arial" w:hAnsi="Arial" w:cs="Arial" w:eastAsia="Arial"/>
                <w:color w:val="0E1E3A"/>
                <w:sz w:val="17"/>
                <w:szCs w:val="17"/>
                <w:rtl/>
              </w:rPr>
              <w:t>لا يوجد</w:t>
            </w:r>
          </w:p>
        </w:tc>
      </w:tr>
      <w:tr>
        <w:tc>
          <w:tcPr>
            <w:tcW w:type="dxa" w:w="3326"/>
          </w:tcPr>
          <w:p>
            <w:pPr>
              <w:bidi w:val="1"/>
              <w:spacing w:before="0" w:after="0" w:line="264" w:lineRule="auto"/>
            </w:pPr>
            <w:r>
              <w:rPr>
                <w:rFonts w:ascii="Arial" w:hAnsi="Arial" w:cs="Arial" w:eastAsia="Arial"/>
                <w:color w:val="0E1E3A"/>
                <w:sz w:val="17"/>
                <w:szCs w:val="17"/>
                <w:rtl/>
              </w:rPr>
              <w:t>استثمار مدير الصندوق من صافي أصول الصندوق</w:t>
            </w:r>
          </w:p>
        </w:tc>
        <w:tc>
          <w:tcPr>
            <w:tcW w:type="dxa" w:w="3326"/>
          </w:tcPr>
          <w:p>
            <w:pPr>
              <w:bidi w:val="1"/>
              <w:spacing w:before="0" w:after="0" w:line="264" w:lineRule="auto"/>
            </w:pPr>
            <w:r>
              <w:rPr>
                <w:rFonts w:ascii="Arial" w:hAnsi="Arial" w:cs="Arial" w:eastAsia="Arial"/>
                <w:color w:val="0E1E3A"/>
                <w:sz w:val="17"/>
                <w:szCs w:val="17"/>
                <w:rtl/>
              </w:rPr>
              <w:t>لا يوجد</w:t>
            </w:r>
          </w:p>
        </w:tc>
        <w:tc>
          <w:tcPr>
            <w:tcW w:type="dxa" w:w="3326"/>
          </w:tcPr>
          <w:p>
            <w:pPr>
              <w:bidi w:val="1"/>
              <w:spacing w:before="0" w:after="0" w:line="264" w:lineRule="auto"/>
            </w:pPr>
            <w:r>
              <w:rPr>
                <w:rFonts w:ascii="Arial" w:hAnsi="Arial" w:cs="Arial" w:eastAsia="Arial"/>
                <w:color w:val="0E1E3A"/>
                <w:sz w:val="17"/>
                <w:szCs w:val="17"/>
                <w:rtl/>
              </w:rPr>
              <w:t>لا يوجد</w:t>
            </w:r>
          </w:p>
        </w:tc>
      </w:tr>
      <w:tr>
        <w:tc>
          <w:tcPr>
            <w:tcW w:type="dxa" w:w="3326"/>
          </w:tcPr>
          <w:p>
            <w:pPr>
              <w:bidi w:val="1"/>
              <w:spacing w:before="0" w:after="0" w:line="264" w:lineRule="auto"/>
            </w:pPr>
            <w:r>
              <w:rPr>
                <w:rFonts w:ascii="Arial" w:hAnsi="Arial" w:cs="Arial" w:eastAsia="Arial"/>
                <w:color w:val="0E1E3A"/>
                <w:sz w:val="17"/>
                <w:szCs w:val="17"/>
                <w:rtl/>
              </w:rPr>
              <w:t>الأرباح الموزعة من صافي أصول الصندوق</w:t>
            </w:r>
          </w:p>
        </w:tc>
        <w:tc>
          <w:tcPr>
            <w:tcW w:type="dxa" w:w="3326"/>
          </w:tcPr>
          <w:p>
            <w:pPr>
              <w:bidi w:val="1"/>
              <w:spacing w:before="0" w:after="0" w:line="264" w:lineRule="auto"/>
            </w:pPr>
            <w:r>
              <w:rPr>
                <w:rFonts w:ascii="Arial" w:hAnsi="Arial" w:cs="Arial" w:eastAsia="Arial"/>
                <w:color w:val="0E1E3A"/>
                <w:sz w:val="17"/>
                <w:szCs w:val="17"/>
                <w:rtl/>
              </w:rPr>
              <w:t>7,565,035 ر.س.</w:t>
            </w:r>
          </w:p>
        </w:tc>
        <w:tc>
          <w:tcPr>
            <w:tcW w:type="dxa" w:w="3326"/>
          </w:tcPr>
          <w:p>
            <w:pPr>
              <w:bidi w:val="1"/>
              <w:spacing w:before="0" w:after="0" w:line="264" w:lineRule="auto"/>
            </w:pPr>
            <w:r>
              <w:rPr>
                <w:rFonts w:ascii="Arial" w:hAnsi="Arial" w:cs="Arial" w:eastAsia="Arial"/>
                <w:color w:val="0E1E3A"/>
                <w:sz w:val="17"/>
                <w:szCs w:val="17"/>
              </w:rPr>
              <w:t>‎1.79%‎</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متوسط صافي قيمة الأصول = 425,432,194 ريال سعودي</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9" name="Picture 903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ح.</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بيانات ملكية استثمارات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ملكية تامة</w:t>
            </w:r>
          </w:p>
        </w:tc>
        <w:tc>
          <w:tcPr>
            <w:tcW w:type="dxa" w:w="6860"/>
          </w:tcPr>
          <w:p>
            <w:pPr>
              <w:bidi w:val="1"/>
              <w:spacing w:before="0" w:after="0" w:line="276" w:lineRule="auto"/>
            </w:pPr>
            <w:r>
              <w:rPr>
                <w:rFonts w:ascii="Arial" w:hAnsi="Arial" w:cs="Arial" w:eastAsia="Arial"/>
                <w:b/>
                <w:bCs/>
                <w:color w:val="0E1E3A"/>
                <w:sz w:val="18"/>
                <w:szCs w:val="18"/>
              </w:rPr>
              <w:t>‎100%‎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حق منفعة</w:t>
            </w:r>
          </w:p>
        </w:tc>
        <w:tc>
          <w:tcPr>
            <w:tcW w:type="dxa" w:w="6860"/>
          </w:tcPr>
          <w:p>
            <w:pPr>
              <w:bidi w:val="1"/>
              <w:spacing w:before="0" w:after="0" w:line="276" w:lineRule="auto"/>
            </w:pPr>
            <w:r>
              <w:rPr>
                <w:rFonts w:ascii="Arial" w:hAnsi="Arial" w:cs="Arial" w:eastAsia="Arial"/>
                <w:b/>
                <w:bCs/>
                <w:color w:val="0E1E3A"/>
                <w:sz w:val="18"/>
                <w:szCs w:val="18"/>
              </w:rPr>
              <w:t>‎0%‎</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0" name="Picture 903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ط.</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إخلاء مسؤولية:</w:t>
      </w:r>
    </w:p>
    <w:p>
      <w:pPr>
        <w:bidi w:val="1"/>
        <w:spacing w:before="0" w:after="80" w:line="312" w:lineRule="auto"/>
      </w:pPr>
      <w:r>
        <w:rPr>
          <w:rFonts w:ascii="Arial" w:hAnsi="Arial" w:cs="Arial" w:eastAsia="Arial"/>
          <w:color w:val="0E1E3A"/>
          <w:sz w:val="20"/>
          <w:szCs w:val="20"/>
          <w:rtl/>
        </w:rPr>
        <w:t>لا تمثل هذه الوثيقة عرضا للشراء، أو الاكتتاب، أو المشاركة بأي شكل في صندوق "الخبير للدخل المتنوع المتداول"، ولا تشكل الوثيقة (أو أي جزءٍ منها) أساسا، ولا ينبغي الاعتماد عليها للقيام بما تقدم، أو محفزا لإبرام أي تعاقد مهما كان نوعه. يجب على المستثمرين المحتملين قراءة شروط وأحكام صندوق "الخبير للدخل المتنوع المتداول" وما ورد فيها بشأن مخاطر الاستثمار ووثائقه الأخرى بعناية ودقة قبل اتخاذ القرار؛ وذلك من خلال الموقع الإلكتروني لشركة "الخبير المالية": www.alkhabeer.com. هذا الاستثمار ليس وديعة نقدية لدى بنك محلي. ويمكن أن ترتفع أو تنخفض قيمة الاستثمار وأي دخل آخر متحقق منه. كما يتوجب على جميع المستثمرين الراغبين في الاستثمار التوصل إلى قرارهم بالتشاور مع مستشاريهم الماليين والقانونيين وتقييم جميع المخاطر التي ينطوي عليها الاستثمار. كما لا يمكن إعطاء ضمان بأن النتائج المستهدفة والمتوقعة سوف تتحقق، وبالإضافة إلى ذلك، فإن الأداء السابق لا يضمن النتائج المستقبلية للصندوق. ويعد استثمار المستثمر في الصندوق إقرارا منه باطلاعه على شروط وأحكام الصندوق وقبوله بها. وتنتفي المسؤولية عن مدير الصندوق أو أي من تابعيه في حال وقوع أي خسارة مالية للصندوق ما لم يكن ذلك ناتجا عن أسباب متعمدة من قبل مدير الصندوق.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1" name="Picture 904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ي.</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رسم بياني يوضح أكبر عشرة استثمارات للصندوق:</w:t>
      </w:r>
    </w:p>
    <w:p>
      <w:pPr>
        <w:bidi w:val="1"/>
        <w:spacing w:before="0" w:after="80" w:line="240" w:lineRule="auto"/>
        <w:jc w:val="center"/>
      </w:pPr>
      <w:r>
        <w:drawing>
          <wp:inline xmlns:a="http://schemas.openxmlformats.org/drawingml/2006/main" xmlns:pic="http://schemas.openxmlformats.org/drawingml/2006/picture">
            <wp:extent cx="6336000" cy="2911135"/>
            <wp:docPr id="12" name="Picture 9041"/>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2911135"/>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3" name="Picture 9042"/>
            <wp:cNvGraphicFramePr>
              <a:graphicFrameLocks noChangeAspect="1"/>
            </wp:cNvGraphicFramePr>
            <a:graphic>
              <a:graphicData uri="http://schemas.openxmlformats.org/drawingml/2006/picture">
                <pic:pic>
                  <pic:nvPicPr>
                    <pic:cNvPr id="0" name="ico_737e94dc9d8d67dbf235ae564951a5f7.png"/>
                    <pic:cNvPicPr/>
                  </pic:nvPicPr>
                  <pic:blipFill>
                    <a:blip r:embed="rId17"/>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ك.</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بيان الأرباح الموزعة على مالكي الوحدات (إن وُجدت)، بحسب الآتي:</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في الربع الأول</w:t>
            </w:r>
          </w:p>
        </w:tc>
        <w:tc>
          <w:tcPr>
            <w:tcW w:type="dxa" w:w="6860"/>
          </w:tcPr>
          <w:p>
            <w:pPr>
              <w:bidi w:val="1"/>
              <w:spacing w:before="0" w:after="0" w:line="276" w:lineRule="auto"/>
            </w:pPr>
            <w:r>
              <w:rPr>
                <w:rFonts w:ascii="Arial" w:hAnsi="Arial" w:cs="Arial" w:eastAsia="Arial"/>
                <w:b/>
                <w:bCs/>
                <w:color w:val="0E1E3A"/>
                <w:sz w:val="18"/>
                <w:szCs w:val="18"/>
                <w:rtl/>
              </w:rPr>
              <w:t>7,565,035.20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الوحدات القائمة التي تم التوزيع لها خلال الربع الأول</w:t>
            </w:r>
          </w:p>
        </w:tc>
        <w:tc>
          <w:tcPr>
            <w:tcW w:type="dxa" w:w="6860"/>
          </w:tcPr>
          <w:p>
            <w:pPr>
              <w:bidi w:val="1"/>
              <w:spacing w:before="0" w:after="0" w:line="276" w:lineRule="auto"/>
            </w:pPr>
            <w:r>
              <w:rPr>
                <w:rFonts w:ascii="Arial" w:hAnsi="Arial" w:cs="Arial" w:eastAsia="Arial"/>
                <w:b/>
                <w:bCs/>
                <w:color w:val="0E1E3A"/>
                <w:sz w:val="18"/>
                <w:szCs w:val="18"/>
                <w:rtl/>
              </w:rPr>
              <w:t>47,281,470 وحدة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الربح الموزع لكل وحدة خلال الربع الأول</w:t>
            </w:r>
          </w:p>
        </w:tc>
        <w:tc>
          <w:tcPr>
            <w:tcW w:type="dxa" w:w="6860"/>
          </w:tcPr>
          <w:p>
            <w:pPr>
              <w:bidi w:val="1"/>
              <w:spacing w:before="0" w:after="0" w:line="276" w:lineRule="auto"/>
            </w:pPr>
            <w:r>
              <w:rPr>
                <w:rFonts w:ascii="Arial" w:hAnsi="Arial" w:cs="Arial" w:eastAsia="Arial"/>
                <w:b/>
                <w:bCs/>
                <w:color w:val="0E1E3A"/>
                <w:sz w:val="18"/>
                <w:szCs w:val="18"/>
                <w:rtl/>
              </w:rPr>
              <w:t>0.16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التوزيعات من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Pr>
              <w:t>‎1.8%‎</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أحقية التوزيعات النقدية التي تم توزيعها خلال الربع المعني</w:t>
            </w:r>
          </w:p>
        </w:tc>
        <w:tc>
          <w:tcPr>
            <w:tcW w:type="dxa" w:w="6860"/>
          </w:tcPr>
          <w:p>
            <w:pPr>
              <w:bidi w:val="1"/>
              <w:spacing w:before="0" w:after="0" w:line="276" w:lineRule="auto"/>
            </w:pPr>
            <w:r>
              <w:rPr>
                <w:rFonts w:ascii="Arial" w:hAnsi="Arial" w:cs="Arial" w:eastAsia="Arial"/>
                <w:b/>
                <w:bCs/>
                <w:color w:val="0E1E3A"/>
                <w:sz w:val="18"/>
                <w:szCs w:val="18"/>
                <w:rtl/>
              </w:rPr>
              <w:t>لمالكي الوحدات؛ وذلك حسب سجل مالكي بنهاية يوم الاثنين 28 شعبان 1447 هـ الموافق 16 فبراير 2026م (نهاية تداول يوم الخميس 24 شعبان 1447 هـ الموافق 12 فبراير 2026م).</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4" name="Picture 904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ل.</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التصنيف الائتماني لأدوات الدين المستثمّر فيها لأكبر عشرة استثمارات للصندوق، وذلك بحسب الآتي:</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بيان التصنيف الائتماني لأداة الدين</w:t>
            </w:r>
          </w:p>
        </w:tc>
        <w:tc>
          <w:tcPr>
            <w:tcW w:type="dxa" w:w="6860"/>
          </w:tcPr>
          <w:p>
            <w:pPr>
              <w:bidi w:val="1"/>
              <w:spacing w:before="0" w:after="0" w:line="276" w:lineRule="auto"/>
            </w:pPr>
            <w:r>
              <w:rPr>
                <w:rFonts w:ascii="Arial" w:hAnsi="Arial" w:cs="Arial" w:eastAsia="Arial"/>
                <w:b/>
                <w:bCs/>
                <w:color w:val="0E1E3A"/>
                <w:sz w:val="18"/>
                <w:szCs w:val="18"/>
                <w:rtl/>
              </w:rPr>
              <w:t>Aa</w:t>
            </w:r>
            <w:r>
              <w:rPr>
                <w:rFonts w:ascii="Arial" w:hAnsi="Arial" w:cs="Arial" w:eastAsia="Arial"/>
                <w:b/>
                <w:bCs/>
                <w:color w:val="0E1E3A"/>
                <w:sz w:val="18"/>
                <w:szCs w:val="18"/>
                <w:rtl/>
              </w:rPr>
              <w:t>3</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بيان التصنيف الائتماني لمصدر أداة الدين</w:t>
            </w:r>
          </w:p>
        </w:tc>
        <w:tc>
          <w:tcPr>
            <w:tcW w:type="dxa" w:w="6860"/>
          </w:tcPr>
          <w:p>
            <w:pPr>
              <w:bidi w:val="1"/>
              <w:spacing w:before="0" w:after="0" w:line="276" w:lineRule="auto"/>
            </w:pPr>
            <w:r>
              <w:rPr>
                <w:rFonts w:ascii="Arial" w:hAnsi="Arial" w:cs="Arial" w:eastAsia="Arial"/>
                <w:b/>
                <w:bCs/>
                <w:color w:val="0E1E3A"/>
                <w:sz w:val="18"/>
                <w:szCs w:val="18"/>
                <w:rtl/>
              </w:rPr>
              <w:t>Aa</w:t>
            </w:r>
            <w:r>
              <w:rPr>
                <w:rFonts w:ascii="Arial" w:hAnsi="Arial" w:cs="Arial" w:eastAsia="Arial"/>
                <w:b/>
                <w:bCs/>
                <w:color w:val="0E1E3A"/>
                <w:sz w:val="18"/>
                <w:szCs w:val="18"/>
                <w:rtl/>
              </w:rPr>
              <w:t>3</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بيان اسم وكالة التصنيف الائتماني المانحة للتصنيف الائتماني</w:t>
            </w:r>
          </w:p>
        </w:tc>
        <w:tc>
          <w:tcPr>
            <w:tcW w:type="dxa" w:w="6860"/>
          </w:tcPr>
          <w:p>
            <w:pPr>
              <w:bidi w:val="1"/>
              <w:spacing w:before="0" w:after="0" w:line="276" w:lineRule="auto"/>
            </w:pPr>
            <w:r>
              <w:rPr>
                <w:rFonts w:ascii="Arial" w:hAnsi="Arial" w:cs="Arial" w:eastAsia="Arial"/>
                <w:b/>
                <w:bCs/>
                <w:color w:val="0E1E3A"/>
                <w:sz w:val="18"/>
                <w:szCs w:val="18"/>
                <w:rtl/>
              </w:rPr>
              <w:t>Moody’s</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بيان تاريخ التصنيف الائتماني</w:t>
            </w:r>
          </w:p>
        </w:tc>
        <w:tc>
          <w:tcPr>
            <w:tcW w:type="dxa" w:w="6860"/>
          </w:tcPr>
          <w:p>
            <w:pPr>
              <w:bidi w:val="1"/>
              <w:spacing w:before="0" w:after="0" w:line="276" w:lineRule="auto"/>
            </w:pPr>
            <w:r>
              <w:rPr>
                <w:rFonts w:ascii="Arial" w:hAnsi="Arial" w:cs="Arial" w:eastAsia="Arial"/>
                <w:b/>
                <w:bCs/>
                <w:color w:val="0E1E3A"/>
                <w:sz w:val="18"/>
                <w:szCs w:val="18"/>
                <w:rtl/>
              </w:rPr>
              <w:t>27 نوفمبر 2024م</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5" name="Picture 9044"/>
            <wp:cNvGraphicFramePr>
              <a:graphicFrameLocks noChangeAspect="1"/>
            </wp:cNvGraphicFramePr>
            <a:graphic>
              <a:graphicData uri="http://schemas.openxmlformats.org/drawingml/2006/picture">
                <pic:pic>
                  <pic:nvPicPr>
                    <pic:cNvPr id="0" name="ico_737e94dc9d8d67dbf235ae564951a5f7.png"/>
                    <pic:cNvPicPr/>
                  </pic:nvPicPr>
                  <pic:blipFill>
                    <a:blip r:embed="rId17"/>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م.</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رسم بياني يوضح توزيع أصول الصندوق (قطاعي/ جغرافي):</w:t>
      </w:r>
    </w:p>
    <w:p>
      <w:pPr>
        <w:bidi w:val="1"/>
        <w:spacing w:before="0" w:after="80" w:line="240" w:lineRule="auto"/>
        <w:jc w:val="center"/>
      </w:pPr>
      <w:r>
        <w:drawing>
          <wp:inline xmlns:a="http://schemas.openxmlformats.org/drawingml/2006/main" xmlns:pic="http://schemas.openxmlformats.org/drawingml/2006/picture">
            <wp:extent cx="6336000" cy="1883676"/>
            <wp:docPr id="16" name="Picture 9045"/>
            <wp:cNvGraphicFramePr>
              <a:graphicFrameLocks noChangeAspect="1"/>
            </wp:cNvGraphicFramePr>
            <a:graphic>
              <a:graphicData uri="http://schemas.openxmlformats.org/drawingml/2006/picture">
                <pic:pic>
                  <pic:nvPicPr>
                    <pic:cNvPr id="0" name="x3.j.jpg"/>
                    <pic:cNvPicPr/>
                  </pic:nvPicPr>
                  <pic:blipFill>
                    <a:blip r:embed="rId18"/>
                    <a:stretch>
                      <a:fillRect/>
                    </a:stretch>
                  </pic:blipFill>
                  <pic:spPr>
                    <a:xfrm>
                      <a:off x="0" y="0"/>
                      <a:ext cx="6336000" cy="1883676"/>
                    </a:xfrm>
                    <a:prstGeom prst="rect"/>
                  </pic:spPr>
                </pic:pic>
              </a:graphicData>
            </a:graphic>
          </wp:inline>
        </w:drawing>
      </w:r>
    </w:p>
    <w:p>
      <w:pPr>
        <w:bidi w:val="1"/>
        <w:spacing w:before="0" w:after="80" w:line="240" w:lineRule="auto"/>
        <w:jc w:val="center"/>
      </w:pPr>
      <w:r>
        <w:drawing>
          <wp:inline xmlns:a="http://schemas.openxmlformats.org/drawingml/2006/main" xmlns:pic="http://schemas.openxmlformats.org/drawingml/2006/picture">
            <wp:extent cx="6336000" cy="1883676"/>
            <wp:docPr id="17" name="Picture 9046"/>
            <wp:cNvGraphicFramePr>
              <a:graphicFrameLocks noChangeAspect="1"/>
            </wp:cNvGraphicFramePr>
            <a:graphic>
              <a:graphicData uri="http://schemas.openxmlformats.org/drawingml/2006/picture">
                <pic:pic>
                  <pic:nvPicPr>
                    <pic:cNvPr id="0" name="x4.j.jpg"/>
                    <pic:cNvPicPr/>
                  </pic:nvPicPr>
                  <pic:blipFill>
                    <a:blip r:embed="rId19"/>
                    <a:stretch>
                      <a:fillRect/>
                    </a:stretch>
                  </pic:blipFill>
                  <pic:spPr>
                    <a:xfrm>
                      <a:off x="0" y="0"/>
                      <a:ext cx="6336000" cy="1883676"/>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 متوسط مدة استثمارات الصندوق 3-4 سنوات.</w:t>
      </w:r>
      <w:r>
        <w:br/>
      </w:r>
      <w:r>
        <w:rPr>
          <w:rFonts w:ascii="Arial" w:hAnsi="Arial" w:cs="Arial" w:eastAsia="Arial"/>
          <w:color w:val="5A6478"/>
          <w:sz w:val="17"/>
          <w:szCs w:val="17"/>
          <w:rtl/>
        </w:rPr>
        <w:t>**كما في بداية الربع المعني</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8" name="Picture 9047"/>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ن.</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العائد:</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البند</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أشهر (نهاية الربع الأول)</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 ** (YTD)</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 ***</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 ****</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العائد الكلي لصافي قيمة الوحدة "أداء الصندوق" *</w:t>
            </w:r>
          </w:p>
        </w:tc>
        <w:tc>
          <w:tcPr>
            <w:tcW w:type="dxa" w:w="1663"/>
          </w:tcPr>
          <w:p>
            <w:pPr>
              <w:bidi w:val="1"/>
              <w:spacing w:before="0" w:after="0" w:line="264" w:lineRule="auto"/>
            </w:pPr>
            <w:r>
              <w:rPr>
                <w:rFonts w:ascii="Arial" w:hAnsi="Arial" w:cs="Arial" w:eastAsia="Arial"/>
                <w:color w:val="0E1E3A"/>
                <w:sz w:val="17"/>
                <w:szCs w:val="17"/>
              </w:rPr>
              <w:t>‎0.71%‎</w:t>
            </w:r>
          </w:p>
        </w:tc>
        <w:tc>
          <w:tcPr>
            <w:tcW w:type="dxa" w:w="1663"/>
          </w:tcPr>
          <w:p>
            <w:pPr>
              <w:bidi w:val="1"/>
              <w:spacing w:before="0" w:after="0" w:line="264" w:lineRule="auto"/>
            </w:pPr>
            <w:r>
              <w:rPr>
                <w:rFonts w:ascii="Arial" w:hAnsi="Arial" w:cs="Arial" w:eastAsia="Arial"/>
                <w:color w:val="0E1E3A"/>
                <w:sz w:val="17"/>
                <w:szCs w:val="17"/>
              </w:rPr>
              <w:t>‎0.71%‎</w:t>
            </w:r>
          </w:p>
        </w:tc>
        <w:tc>
          <w:tcPr>
            <w:tcW w:type="dxa" w:w="1663"/>
          </w:tcPr>
          <w:p>
            <w:pPr>
              <w:bidi w:val="1"/>
              <w:spacing w:before="0" w:after="0" w:line="264" w:lineRule="auto"/>
            </w:pPr>
            <w:r>
              <w:rPr>
                <w:rFonts w:ascii="Arial" w:hAnsi="Arial" w:cs="Arial" w:eastAsia="Arial"/>
                <w:color w:val="0E1E3A"/>
                <w:sz w:val="17"/>
                <w:szCs w:val="17"/>
              </w:rPr>
              <w:t>‎-2.59%‎</w:t>
            </w:r>
          </w:p>
        </w:tc>
        <w:tc>
          <w:tcPr>
            <w:tcW w:type="dxa" w:w="1663"/>
          </w:tcPr>
          <w:p>
            <w:pPr>
              <w:bidi w:val="1"/>
              <w:spacing w:before="0" w:after="0" w:line="264" w:lineRule="auto"/>
            </w:pPr>
            <w:r>
              <w:rPr>
                <w:rFonts w:ascii="Arial" w:hAnsi="Arial" w:cs="Arial" w:eastAsia="Arial"/>
                <w:color w:val="0E1E3A"/>
                <w:sz w:val="17"/>
                <w:szCs w:val="17"/>
              </w:rPr>
              <w:t>‎6.21%‎</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أداء المؤشر الاسترشادي</w:t>
            </w:r>
          </w:p>
        </w:tc>
        <w:tc>
          <w:tcPr>
            <w:tcW w:type="dxa" w:w="1663"/>
          </w:tcPr>
          <w:p>
            <w:pPr>
              <w:bidi w:val="1"/>
              <w:spacing w:before="0" w:after="0" w:line="264" w:lineRule="auto"/>
            </w:pPr>
            <w:r>
              <w:rPr>
                <w:rFonts w:ascii="Arial" w:hAnsi="Arial" w:cs="Arial" w:eastAsia="Arial"/>
                <w:color w:val="0E1E3A"/>
                <w:sz w:val="17"/>
                <w:szCs w:val="17"/>
              </w:rPr>
              <w:t>‎1.57%‎</w:t>
            </w:r>
          </w:p>
        </w:tc>
        <w:tc>
          <w:tcPr>
            <w:tcW w:type="dxa" w:w="1663"/>
          </w:tcPr>
          <w:p>
            <w:pPr>
              <w:bidi w:val="1"/>
              <w:spacing w:before="0" w:after="0" w:line="264" w:lineRule="auto"/>
            </w:pPr>
            <w:r>
              <w:rPr>
                <w:rFonts w:ascii="Arial" w:hAnsi="Arial" w:cs="Arial" w:eastAsia="Arial"/>
                <w:color w:val="0E1E3A"/>
                <w:sz w:val="17"/>
                <w:szCs w:val="17"/>
              </w:rPr>
              <w:t>‎1.57%‎</w:t>
            </w:r>
          </w:p>
        </w:tc>
        <w:tc>
          <w:tcPr>
            <w:tcW w:type="dxa" w:w="1663"/>
          </w:tcPr>
          <w:p>
            <w:pPr>
              <w:bidi w:val="1"/>
              <w:spacing w:before="0" w:after="0" w:line="264" w:lineRule="auto"/>
            </w:pPr>
            <w:r>
              <w:rPr>
                <w:rFonts w:ascii="Arial" w:hAnsi="Arial" w:cs="Arial" w:eastAsia="Arial"/>
                <w:color w:val="0E1E3A"/>
                <w:sz w:val="17"/>
                <w:szCs w:val="17"/>
              </w:rPr>
              <w:t>‎6.74%‎</w:t>
            </w:r>
          </w:p>
        </w:tc>
        <w:tc>
          <w:tcPr>
            <w:tcW w:type="dxa" w:w="1663"/>
          </w:tcPr>
          <w:p>
            <w:pPr>
              <w:bidi w:val="1"/>
              <w:spacing w:before="0" w:after="0" w:line="264" w:lineRule="auto"/>
            </w:pPr>
            <w:r>
              <w:rPr>
                <w:rFonts w:ascii="Arial" w:hAnsi="Arial" w:cs="Arial" w:eastAsia="Arial"/>
                <w:color w:val="0E1E3A"/>
                <w:sz w:val="17"/>
                <w:szCs w:val="17"/>
              </w:rPr>
              <w:t>‎24.00%‎</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فارق الأداء</w:t>
            </w:r>
          </w:p>
        </w:tc>
        <w:tc>
          <w:tcPr>
            <w:tcW w:type="dxa" w:w="1663"/>
          </w:tcPr>
          <w:p>
            <w:pPr>
              <w:bidi w:val="1"/>
              <w:spacing w:before="0" w:after="0" w:line="264" w:lineRule="auto"/>
            </w:pPr>
            <w:r>
              <w:rPr>
                <w:rFonts w:ascii="Arial" w:hAnsi="Arial" w:cs="Arial" w:eastAsia="Arial"/>
                <w:color w:val="0E1E3A"/>
                <w:sz w:val="17"/>
                <w:szCs w:val="17"/>
              </w:rPr>
              <w:t>‎-0.85%‎</w:t>
            </w:r>
          </w:p>
        </w:tc>
        <w:tc>
          <w:tcPr>
            <w:tcW w:type="dxa" w:w="1663"/>
          </w:tcPr>
          <w:p>
            <w:pPr>
              <w:bidi w:val="1"/>
              <w:spacing w:before="0" w:after="0" w:line="264" w:lineRule="auto"/>
            </w:pPr>
            <w:r>
              <w:rPr>
                <w:rFonts w:ascii="Arial" w:hAnsi="Arial" w:cs="Arial" w:eastAsia="Arial"/>
                <w:color w:val="0E1E3A"/>
                <w:sz w:val="17"/>
                <w:szCs w:val="17"/>
              </w:rPr>
              <w:t>‎-0.85%‎</w:t>
            </w:r>
          </w:p>
        </w:tc>
        <w:tc>
          <w:tcPr>
            <w:tcW w:type="dxa" w:w="1663"/>
          </w:tcPr>
          <w:p>
            <w:pPr>
              <w:bidi w:val="1"/>
              <w:spacing w:before="0" w:after="0" w:line="264" w:lineRule="auto"/>
            </w:pPr>
            <w:r>
              <w:rPr>
                <w:rFonts w:ascii="Arial" w:hAnsi="Arial" w:cs="Arial" w:eastAsia="Arial"/>
                <w:color w:val="0E1E3A"/>
                <w:sz w:val="17"/>
                <w:szCs w:val="17"/>
              </w:rPr>
              <w:t>‎-9.33%‎</w:t>
            </w:r>
          </w:p>
        </w:tc>
        <w:tc>
          <w:tcPr>
            <w:tcW w:type="dxa" w:w="1663"/>
          </w:tcPr>
          <w:p>
            <w:pPr>
              <w:bidi w:val="1"/>
              <w:spacing w:before="0" w:after="0" w:line="264" w:lineRule="auto"/>
            </w:pPr>
            <w:r>
              <w:rPr>
                <w:rFonts w:ascii="Arial" w:hAnsi="Arial" w:cs="Arial" w:eastAsia="Arial"/>
                <w:color w:val="0E1E3A"/>
                <w:sz w:val="17"/>
                <w:szCs w:val="17"/>
              </w:rPr>
              <w:t>‎-17.79%‎</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العائد الكلي = أداء صافي قيمة الوحدة بالإضافة إلى الأرباح الموزعة.</w:t>
      </w:r>
      <w:r>
        <w:br/>
      </w:r>
      <w:r>
        <w:rPr>
          <w:rFonts w:ascii="Arial" w:hAnsi="Arial" w:cs="Arial" w:eastAsia="Arial"/>
          <w:color w:val="5A6478"/>
          <w:sz w:val="17"/>
          <w:szCs w:val="17"/>
          <w:rtl/>
        </w:rPr>
        <w:t>** عن الفترة من 1 يناير 2026م إلى 31 مارس 2026م.</w:t>
      </w:r>
      <w:r>
        <w:br/>
      </w:r>
      <w:r>
        <w:rPr>
          <w:rFonts w:ascii="Arial" w:hAnsi="Arial" w:cs="Arial" w:eastAsia="Arial"/>
          <w:color w:val="5A6478"/>
          <w:sz w:val="17"/>
          <w:szCs w:val="17"/>
          <w:rtl/>
        </w:rPr>
        <w:t>*** عن الفترة من 31 مارس 2025م إلى 31 مارس 2026م.</w:t>
      </w:r>
      <w:r>
        <w:br/>
      </w:r>
      <w:r>
        <w:rPr>
          <w:rFonts w:ascii="Arial" w:hAnsi="Arial" w:cs="Arial" w:eastAsia="Arial"/>
          <w:color w:val="5A6478"/>
          <w:sz w:val="17"/>
          <w:szCs w:val="17"/>
          <w:rtl/>
        </w:rPr>
        <w:t>**** عن الفترة من 31 مارس 2023م إلى 31 مارس 2026م.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9" name="Picture 9048"/>
            <wp:cNvGraphicFramePr>
              <a:graphicFrameLocks noChangeAspect="1"/>
            </wp:cNvGraphicFramePr>
            <a:graphic>
              <a:graphicData uri="http://schemas.openxmlformats.org/drawingml/2006/picture">
                <pic:pic>
                  <pic:nvPicPr>
                    <pic:cNvPr id="0" name="ico_47bcec02f49b9d1a764a57a70a5c8310.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س.</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الأداء والمخاطر:</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معايير الأداء والمخاطر</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أشهر (نهاية الربع الأول)</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 * (YTD)</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 **</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 ***</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الانحراف المعياري</w:t>
            </w:r>
          </w:p>
        </w:tc>
        <w:tc>
          <w:tcPr>
            <w:tcW w:type="dxa" w:w="1663"/>
          </w:tcPr>
          <w:p>
            <w:pPr>
              <w:bidi w:val="1"/>
              <w:spacing w:before="0" w:after="0" w:line="264" w:lineRule="auto"/>
            </w:pPr>
            <w:r>
              <w:rPr>
                <w:rFonts w:ascii="Arial" w:hAnsi="Arial" w:cs="Arial" w:eastAsia="Arial"/>
                <w:color w:val="0E1E3A"/>
                <w:sz w:val="17"/>
                <w:szCs w:val="17"/>
                <w:rtl/>
              </w:rPr>
              <w:t>0.14</w:t>
            </w:r>
          </w:p>
        </w:tc>
        <w:tc>
          <w:tcPr>
            <w:tcW w:type="dxa" w:w="1663"/>
          </w:tcPr>
          <w:p>
            <w:pPr>
              <w:bidi w:val="1"/>
              <w:spacing w:before="0" w:after="0" w:line="264" w:lineRule="auto"/>
            </w:pPr>
            <w:r>
              <w:rPr>
                <w:rFonts w:ascii="Arial" w:hAnsi="Arial" w:cs="Arial" w:eastAsia="Arial"/>
                <w:color w:val="0E1E3A"/>
                <w:sz w:val="17"/>
                <w:szCs w:val="17"/>
                <w:rtl/>
              </w:rPr>
              <w:t>0.14</w:t>
            </w:r>
          </w:p>
        </w:tc>
        <w:tc>
          <w:tcPr>
            <w:tcW w:type="dxa" w:w="1663"/>
          </w:tcPr>
          <w:p>
            <w:pPr>
              <w:bidi w:val="1"/>
              <w:spacing w:before="0" w:after="0" w:line="264" w:lineRule="auto"/>
            </w:pPr>
            <w:r>
              <w:rPr>
                <w:rFonts w:ascii="Arial" w:hAnsi="Arial" w:cs="Arial" w:eastAsia="Arial"/>
                <w:color w:val="0E1E3A"/>
                <w:sz w:val="17"/>
                <w:szCs w:val="17"/>
                <w:rtl/>
              </w:rPr>
              <w:t>0.10</w:t>
            </w:r>
          </w:p>
        </w:tc>
        <w:tc>
          <w:tcPr>
            <w:tcW w:type="dxa" w:w="1663"/>
          </w:tcPr>
          <w:p>
            <w:pPr>
              <w:bidi w:val="1"/>
              <w:spacing w:before="0" w:after="0" w:line="264" w:lineRule="auto"/>
            </w:pPr>
            <w:r>
              <w:rPr>
                <w:rFonts w:ascii="Arial" w:hAnsi="Arial" w:cs="Arial" w:eastAsia="Arial"/>
                <w:color w:val="0E1E3A"/>
                <w:sz w:val="17"/>
                <w:szCs w:val="17"/>
                <w:rtl/>
              </w:rPr>
              <w:t>0.13</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شارب</w:t>
            </w:r>
          </w:p>
        </w:tc>
        <w:tc>
          <w:tcPr>
            <w:tcW w:type="dxa" w:w="1663"/>
          </w:tcPr>
          <w:p>
            <w:pPr>
              <w:bidi w:val="1"/>
              <w:spacing w:before="0" w:after="0" w:line="264" w:lineRule="auto"/>
            </w:pPr>
            <w:r>
              <w:rPr>
                <w:rFonts w:ascii="Arial" w:hAnsi="Arial" w:cs="Arial" w:eastAsia="Arial"/>
                <w:color w:val="0E1E3A"/>
                <w:sz w:val="17"/>
                <w:szCs w:val="17"/>
                <w:rtl/>
              </w:rPr>
              <w:t>-2.35</w:t>
            </w:r>
          </w:p>
        </w:tc>
        <w:tc>
          <w:tcPr>
            <w:tcW w:type="dxa" w:w="1663"/>
          </w:tcPr>
          <w:p>
            <w:pPr>
              <w:bidi w:val="1"/>
              <w:spacing w:before="0" w:after="0" w:line="264" w:lineRule="auto"/>
            </w:pPr>
            <w:r>
              <w:rPr>
                <w:rFonts w:ascii="Arial" w:hAnsi="Arial" w:cs="Arial" w:eastAsia="Arial"/>
                <w:color w:val="0E1E3A"/>
                <w:sz w:val="17"/>
                <w:szCs w:val="17"/>
                <w:rtl/>
              </w:rPr>
              <w:t>-2.35</w:t>
            </w:r>
          </w:p>
        </w:tc>
        <w:tc>
          <w:tcPr>
            <w:tcW w:type="dxa" w:w="1663"/>
          </w:tcPr>
          <w:p>
            <w:pPr>
              <w:bidi w:val="1"/>
              <w:spacing w:before="0" w:after="0" w:line="264" w:lineRule="auto"/>
            </w:pPr>
            <w:r>
              <w:rPr>
                <w:rFonts w:ascii="Arial" w:hAnsi="Arial" w:cs="Arial" w:eastAsia="Arial"/>
                <w:color w:val="0E1E3A"/>
                <w:sz w:val="17"/>
                <w:szCs w:val="17"/>
                <w:rtl/>
              </w:rPr>
              <w:t>-2.28</w:t>
            </w:r>
          </w:p>
        </w:tc>
        <w:tc>
          <w:tcPr>
            <w:tcW w:type="dxa" w:w="1663"/>
          </w:tcPr>
          <w:p>
            <w:pPr>
              <w:bidi w:val="1"/>
              <w:spacing w:before="0" w:after="0" w:line="264" w:lineRule="auto"/>
            </w:pPr>
            <w:r>
              <w:rPr>
                <w:rFonts w:ascii="Arial" w:hAnsi="Arial" w:cs="Arial" w:eastAsia="Arial"/>
                <w:color w:val="0E1E3A"/>
                <w:sz w:val="17"/>
                <w:szCs w:val="17"/>
                <w:rtl/>
              </w:rPr>
              <w:t>-0.92</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خطأ التتبع (Tracking Error)</w:t>
            </w:r>
          </w:p>
        </w:tc>
        <w:tc>
          <w:tcPr>
            <w:tcW w:type="dxa" w:w="1663"/>
          </w:tcPr>
          <w:p>
            <w:pPr>
              <w:bidi w:val="1"/>
              <w:spacing w:before="0" w:after="0" w:line="264" w:lineRule="auto"/>
            </w:pPr>
            <w:r>
              <w:rPr>
                <w:rFonts w:ascii="Arial" w:hAnsi="Arial" w:cs="Arial" w:eastAsia="Arial"/>
                <w:color w:val="0E1E3A"/>
                <w:sz w:val="17"/>
                <w:szCs w:val="17"/>
                <w:rtl/>
              </w:rPr>
              <w:t>0.14</w:t>
            </w:r>
          </w:p>
        </w:tc>
        <w:tc>
          <w:tcPr>
            <w:tcW w:type="dxa" w:w="1663"/>
          </w:tcPr>
          <w:p>
            <w:pPr>
              <w:bidi w:val="1"/>
              <w:spacing w:before="0" w:after="0" w:line="264" w:lineRule="auto"/>
            </w:pPr>
            <w:r>
              <w:rPr>
                <w:rFonts w:ascii="Arial" w:hAnsi="Arial" w:cs="Arial" w:eastAsia="Arial"/>
                <w:color w:val="0E1E3A"/>
                <w:sz w:val="17"/>
                <w:szCs w:val="17"/>
                <w:rtl/>
              </w:rPr>
              <w:t>0.14</w:t>
            </w:r>
          </w:p>
        </w:tc>
        <w:tc>
          <w:tcPr>
            <w:tcW w:type="dxa" w:w="1663"/>
          </w:tcPr>
          <w:p>
            <w:pPr>
              <w:bidi w:val="1"/>
              <w:spacing w:before="0" w:after="0" w:line="264" w:lineRule="auto"/>
            </w:pPr>
            <w:r>
              <w:rPr>
                <w:rFonts w:ascii="Arial" w:hAnsi="Arial" w:cs="Arial" w:eastAsia="Arial"/>
                <w:color w:val="0E1E3A"/>
                <w:sz w:val="17"/>
                <w:szCs w:val="17"/>
                <w:rtl/>
              </w:rPr>
              <w:t>0.10</w:t>
            </w:r>
          </w:p>
        </w:tc>
        <w:tc>
          <w:tcPr>
            <w:tcW w:type="dxa" w:w="1663"/>
          </w:tcPr>
          <w:p>
            <w:pPr>
              <w:bidi w:val="1"/>
              <w:spacing w:before="0" w:after="0" w:line="264" w:lineRule="auto"/>
            </w:pPr>
            <w:r>
              <w:rPr>
                <w:rFonts w:ascii="Arial" w:hAnsi="Arial" w:cs="Arial" w:eastAsia="Arial"/>
                <w:color w:val="0E1E3A"/>
                <w:sz w:val="17"/>
                <w:szCs w:val="17"/>
                <w:rtl/>
              </w:rPr>
              <w:t>0.13</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بيتا (Beta)</w:t>
            </w:r>
          </w:p>
        </w:tc>
        <w:tc>
          <w:tcPr>
            <w:tcW w:type="dxa" w:w="1663"/>
          </w:tcPr>
          <w:p>
            <w:pPr>
              <w:bidi w:val="1"/>
              <w:spacing w:before="0" w:after="0" w:line="264" w:lineRule="auto"/>
            </w:pPr>
            <w:r>
              <w:rPr>
                <w:rFonts w:ascii="Arial" w:hAnsi="Arial" w:cs="Arial" w:eastAsia="Arial"/>
                <w:color w:val="0E1E3A"/>
                <w:sz w:val="17"/>
                <w:szCs w:val="17"/>
                <w:rtl/>
              </w:rPr>
              <w:t>-11.46</w:t>
            </w:r>
          </w:p>
        </w:tc>
        <w:tc>
          <w:tcPr>
            <w:tcW w:type="dxa" w:w="1663"/>
          </w:tcPr>
          <w:p>
            <w:pPr>
              <w:bidi w:val="1"/>
              <w:spacing w:before="0" w:after="0" w:line="264" w:lineRule="auto"/>
            </w:pPr>
            <w:r>
              <w:rPr>
                <w:rFonts w:ascii="Arial" w:hAnsi="Arial" w:cs="Arial" w:eastAsia="Arial"/>
                <w:color w:val="0E1E3A"/>
                <w:sz w:val="17"/>
                <w:szCs w:val="17"/>
                <w:rtl/>
              </w:rPr>
              <w:t>-11.46</w:t>
            </w:r>
          </w:p>
        </w:tc>
        <w:tc>
          <w:tcPr>
            <w:tcW w:type="dxa" w:w="1663"/>
          </w:tcPr>
          <w:p>
            <w:pPr>
              <w:bidi w:val="1"/>
              <w:spacing w:before="0" w:after="0" w:line="264" w:lineRule="auto"/>
            </w:pPr>
            <w:r>
              <w:rPr>
                <w:rFonts w:ascii="Arial" w:hAnsi="Arial" w:cs="Arial" w:eastAsia="Arial"/>
                <w:color w:val="0E1E3A"/>
                <w:sz w:val="17"/>
                <w:szCs w:val="17"/>
                <w:rtl/>
              </w:rPr>
              <w:t>-2.53</w:t>
            </w:r>
          </w:p>
        </w:tc>
        <w:tc>
          <w:tcPr>
            <w:tcW w:type="dxa" w:w="1663"/>
          </w:tcPr>
          <w:p>
            <w:pPr>
              <w:bidi w:val="1"/>
              <w:spacing w:before="0" w:after="0" w:line="264" w:lineRule="auto"/>
            </w:pPr>
            <w:r>
              <w:rPr>
                <w:rFonts w:ascii="Arial" w:hAnsi="Arial" w:cs="Arial" w:eastAsia="Arial"/>
                <w:color w:val="0E1E3A"/>
                <w:sz w:val="17"/>
                <w:szCs w:val="17"/>
                <w:rtl/>
              </w:rPr>
              <w:t>0.92</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ألفا (Alpha)</w:t>
            </w:r>
          </w:p>
        </w:tc>
        <w:tc>
          <w:tcPr>
            <w:tcW w:type="dxa" w:w="1663"/>
          </w:tcPr>
          <w:p>
            <w:pPr>
              <w:bidi w:val="1"/>
              <w:spacing w:before="0" w:after="0" w:line="264" w:lineRule="auto"/>
            </w:pPr>
            <w:r>
              <w:rPr>
                <w:rFonts w:ascii="Arial" w:hAnsi="Arial" w:cs="Arial" w:eastAsia="Arial"/>
                <w:color w:val="0E1E3A"/>
                <w:sz w:val="17"/>
                <w:szCs w:val="17"/>
                <w:rtl/>
              </w:rPr>
              <w:t>0.57</w:t>
            </w:r>
          </w:p>
        </w:tc>
        <w:tc>
          <w:tcPr>
            <w:tcW w:type="dxa" w:w="1663"/>
          </w:tcPr>
          <w:p>
            <w:pPr>
              <w:bidi w:val="1"/>
              <w:spacing w:before="0" w:after="0" w:line="264" w:lineRule="auto"/>
            </w:pPr>
            <w:r>
              <w:rPr>
                <w:rFonts w:ascii="Arial" w:hAnsi="Arial" w:cs="Arial" w:eastAsia="Arial"/>
                <w:color w:val="0E1E3A"/>
                <w:sz w:val="17"/>
                <w:szCs w:val="17"/>
                <w:rtl/>
              </w:rPr>
              <w:t>0.57</w:t>
            </w:r>
          </w:p>
        </w:tc>
        <w:tc>
          <w:tcPr>
            <w:tcW w:type="dxa" w:w="1663"/>
          </w:tcPr>
          <w:p>
            <w:pPr>
              <w:bidi w:val="1"/>
              <w:spacing w:before="0" w:after="0" w:line="264" w:lineRule="auto"/>
            </w:pPr>
            <w:r>
              <w:rPr>
                <w:rFonts w:ascii="Arial" w:hAnsi="Arial" w:cs="Arial" w:eastAsia="Arial"/>
                <w:color w:val="0E1E3A"/>
                <w:sz w:val="17"/>
                <w:szCs w:val="17"/>
                <w:rtl/>
              </w:rPr>
              <w:t>-0.02</w:t>
            </w:r>
          </w:p>
        </w:tc>
        <w:tc>
          <w:tcPr>
            <w:tcW w:type="dxa" w:w="1663"/>
          </w:tcPr>
          <w:p>
            <w:pPr>
              <w:bidi w:val="1"/>
              <w:spacing w:before="0" w:after="0" w:line="264" w:lineRule="auto"/>
            </w:pPr>
            <w:r>
              <w:rPr>
                <w:rFonts w:ascii="Arial" w:hAnsi="Arial" w:cs="Arial" w:eastAsia="Arial"/>
                <w:color w:val="0E1E3A"/>
                <w:sz w:val="17"/>
                <w:szCs w:val="17"/>
                <w:rtl/>
              </w:rPr>
              <w:t>-0.14</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المعلومات</w:t>
            </w:r>
          </w:p>
        </w:tc>
        <w:tc>
          <w:tcPr>
            <w:tcW w:type="dxa" w:w="1663"/>
          </w:tcPr>
          <w:p>
            <w:pPr>
              <w:bidi w:val="1"/>
              <w:spacing w:before="0" w:after="0" w:line="264" w:lineRule="auto"/>
            </w:pPr>
            <w:r>
              <w:rPr>
                <w:rFonts w:ascii="Arial" w:hAnsi="Arial" w:cs="Arial" w:eastAsia="Arial"/>
                <w:color w:val="0E1E3A"/>
                <w:sz w:val="17"/>
                <w:szCs w:val="17"/>
                <w:rtl/>
              </w:rPr>
              <w:t>-2.45</w:t>
            </w:r>
          </w:p>
        </w:tc>
        <w:tc>
          <w:tcPr>
            <w:tcW w:type="dxa" w:w="1663"/>
          </w:tcPr>
          <w:p>
            <w:pPr>
              <w:bidi w:val="1"/>
              <w:spacing w:before="0" w:after="0" w:line="264" w:lineRule="auto"/>
            </w:pPr>
            <w:r>
              <w:rPr>
                <w:rFonts w:ascii="Arial" w:hAnsi="Arial" w:cs="Arial" w:eastAsia="Arial"/>
                <w:color w:val="0E1E3A"/>
                <w:sz w:val="17"/>
                <w:szCs w:val="17"/>
                <w:rtl/>
              </w:rPr>
              <w:t>-2.45</w:t>
            </w:r>
          </w:p>
        </w:tc>
        <w:tc>
          <w:tcPr>
            <w:tcW w:type="dxa" w:w="1663"/>
          </w:tcPr>
          <w:p>
            <w:pPr>
              <w:bidi w:val="1"/>
              <w:spacing w:before="0" w:after="0" w:line="264" w:lineRule="auto"/>
            </w:pPr>
            <w:r>
              <w:rPr>
                <w:rFonts w:ascii="Arial" w:hAnsi="Arial" w:cs="Arial" w:eastAsia="Arial"/>
                <w:color w:val="0E1E3A"/>
                <w:sz w:val="17"/>
                <w:szCs w:val="17"/>
                <w:rtl/>
              </w:rPr>
              <w:t>-2.43</w:t>
            </w:r>
          </w:p>
        </w:tc>
        <w:tc>
          <w:tcPr>
            <w:tcW w:type="dxa" w:w="1663"/>
          </w:tcPr>
          <w:p>
            <w:pPr>
              <w:bidi w:val="1"/>
              <w:spacing w:before="0" w:after="0" w:line="264" w:lineRule="auto"/>
            </w:pPr>
            <w:r>
              <w:rPr>
                <w:rFonts w:ascii="Arial" w:hAnsi="Arial" w:cs="Arial" w:eastAsia="Arial"/>
                <w:color w:val="0E1E3A"/>
                <w:sz w:val="17"/>
                <w:szCs w:val="17"/>
                <w:rtl/>
              </w:rPr>
              <w:t>-1.12</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*عن الفترة من 1 يناير 2026م إلى 31 مارس 2026م.</w:t>
      </w:r>
      <w:r>
        <w:br/>
      </w:r>
      <w:r>
        <w:rPr>
          <w:rFonts w:ascii="Arial" w:hAnsi="Arial" w:cs="Arial" w:eastAsia="Arial"/>
          <w:color w:val="5A6478"/>
          <w:sz w:val="17"/>
          <w:szCs w:val="17"/>
          <w:rtl/>
        </w:rPr>
        <w:t>** عن الفترة من 31 مارس 2025م إلى 31 مارس 2026م.</w:t>
      </w:r>
      <w:r>
        <w:br/>
      </w:r>
      <w:r>
        <w:rPr>
          <w:rFonts w:ascii="Arial" w:hAnsi="Arial" w:cs="Arial" w:eastAsia="Arial"/>
          <w:color w:val="5A6478"/>
          <w:sz w:val="17"/>
          <w:szCs w:val="17"/>
          <w:rtl/>
        </w:rPr>
        <w:t>*** عن الفترة من 31 مارس 2023م إلى 31 مارس 2026م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0" name="Picture 9049"/>
            <wp:cNvGraphicFramePr>
              <a:graphicFrameLocks noChangeAspect="1"/>
            </wp:cNvGraphicFramePr>
            <a:graphic>
              <a:graphicData uri="http://schemas.openxmlformats.org/drawingml/2006/picture">
                <pic:pic>
                  <pic:nvPicPr>
                    <pic:cNvPr id="0" name="ico_47bcec02f49b9d1a764a57a70a5c8310.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ع.</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بيان المعادلات المستخدمة لاحتساب معايير الأداء والمخاطر:</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tcPr>
          <w:p>
            <w:pPr>
              <w:bidi w:val="1"/>
              <w:spacing w:before="0" w:after="0" w:line="264" w:lineRule="auto"/>
            </w:pPr>
            <w:r>
              <w:rPr>
                <w:rFonts w:ascii="Arial" w:hAnsi="Arial" w:cs="Arial" w:eastAsia="Arial"/>
                <w:color w:val="0E1E3A"/>
                <w:sz w:val="17"/>
                <w:szCs w:val="17"/>
                <w:rtl/>
              </w:rPr>
              <w:t>الانحراف المعياري</w:t>
            </w:r>
          </w:p>
        </w:tc>
        <w:tc>
          <w:tcPr>
            <w:tcW w:type="dxa" w:w="3326"/>
          </w:tcPr>
          <w:p>
            <w:pPr>
              <w:bidi w:val="1"/>
              <w:spacing w:before="0" w:after="0" w:line="264" w:lineRule="auto"/>
            </w:pPr>
            <w:r>
              <w:rPr>
                <w:rFonts w:ascii="Arial" w:hAnsi="Arial" w:cs="Arial" w:eastAsia="Arial"/>
                <w:color w:val="0E1E3A"/>
                <w:sz w:val="17"/>
                <w:szCs w:val="17"/>
                <w:rtl/>
              </w:rPr>
              <w:t>σp = √[ 1/(N − 1) · Σ(Rp,i − Rp)² ]</w:t>
            </w:r>
          </w:p>
        </w:tc>
        <w:tc>
          <w:tcPr>
            <w:tcW w:type="dxa" w:w="3326"/>
          </w:tcPr>
          <w:p>
            <w:pPr>
              <w:bidi w:val="1"/>
              <w:spacing w:before="0" w:after="0" w:line="264" w:lineRule="auto"/>
            </w:pPr>
            <w:r>
              <w:rPr>
                <w:rFonts w:ascii="Arial" w:hAnsi="Arial" w:cs="Arial" w:eastAsia="Arial"/>
                <w:color w:val="0E1E3A"/>
                <w:sz w:val="17"/>
                <w:szCs w:val="17"/>
                <w:rtl/>
              </w:rPr>
              <w:t>where</w:t>
            </w:r>
            <w:r>
              <w:br/>
            </w:r>
            <w:r>
              <w:rPr>
                <w:rFonts w:ascii="Arial" w:hAnsi="Arial" w:cs="Arial" w:eastAsia="Arial"/>
                <w:color w:val="0E1E3A"/>
                <w:sz w:val="17"/>
                <w:szCs w:val="17"/>
                <w:rtl/>
              </w:rPr>
              <w:t>Rp,i = Portfolio return in period i</w:t>
            </w:r>
            <w:r>
              <w:br/>
            </w:r>
            <w:r>
              <w:rPr>
                <w:rFonts w:ascii="Arial" w:hAnsi="Arial" w:cs="Arial" w:eastAsia="Arial"/>
                <w:color w:val="0E1E3A"/>
                <w:sz w:val="17"/>
                <w:szCs w:val="17"/>
                <w:rtl/>
              </w:rPr>
              <w:t>Rp = Average portfolio return</w:t>
            </w:r>
            <w:r>
              <w:br/>
            </w:r>
            <w:r>
              <w:rPr>
                <w:rFonts w:ascii="Arial" w:hAnsi="Arial" w:cs="Arial" w:eastAsia="Arial"/>
                <w:color w:val="0E1E3A"/>
                <w:sz w:val="17"/>
                <w:szCs w:val="17"/>
                <w:rtl/>
              </w:rPr>
              <w:t>N = Number of periods</w:t>
            </w:r>
          </w:p>
        </w:tc>
      </w:tr>
      <w:tr>
        <w:tc>
          <w:tcPr>
            <w:tcW w:type="dxa" w:w="3326"/>
          </w:tcPr>
          <w:p>
            <w:pPr>
              <w:bidi w:val="1"/>
              <w:spacing w:before="0" w:after="0" w:line="264" w:lineRule="auto"/>
            </w:pPr>
            <w:r>
              <w:rPr>
                <w:rFonts w:ascii="Arial" w:hAnsi="Arial" w:cs="Arial" w:eastAsia="Arial"/>
                <w:color w:val="0E1E3A"/>
                <w:sz w:val="17"/>
                <w:szCs w:val="17"/>
                <w:rtl/>
              </w:rPr>
              <w:t>مؤشر شارب</w:t>
            </w:r>
          </w:p>
        </w:tc>
        <w:tc>
          <w:tcPr>
            <w:tcW w:type="dxa" w:w="3326"/>
          </w:tcPr>
          <w:p>
            <w:pPr>
              <w:bidi w:val="1"/>
              <w:spacing w:before="0" w:after="0" w:line="264" w:lineRule="auto"/>
            </w:pPr>
            <w:r>
              <w:rPr>
                <w:rFonts w:ascii="Arial" w:hAnsi="Arial" w:cs="Arial" w:eastAsia="Arial"/>
                <w:color w:val="0E1E3A"/>
                <w:sz w:val="17"/>
                <w:szCs w:val="17"/>
                <w:rtl/>
              </w:rPr>
              <w:t>[(Average Annualised Return − Risk Free Rate) ÷ Standard Deviation]</w:t>
            </w:r>
          </w:p>
        </w:tc>
        <w:tc>
          <w:tcPr>
            <w:tcW w:type="dxa" w:w="3326"/>
          </w:tcPr>
          <w:p>
            <w:pPr>
              <w:bidi w:val="1"/>
              <w:spacing w:before="0" w:after="0" w:line="264" w:lineRule="auto"/>
            </w:pPr>
          </w:p>
        </w:tc>
      </w:tr>
      <w:tr>
        <w:tc>
          <w:tcPr>
            <w:tcW w:type="dxa" w:w="3326"/>
          </w:tcPr>
          <w:p>
            <w:pPr>
              <w:bidi w:val="1"/>
              <w:spacing w:before="0" w:after="0" w:line="264" w:lineRule="auto"/>
            </w:pPr>
            <w:r>
              <w:rPr>
                <w:rFonts w:ascii="Arial" w:hAnsi="Arial" w:cs="Arial" w:eastAsia="Arial"/>
                <w:color w:val="0E1E3A"/>
                <w:sz w:val="17"/>
                <w:szCs w:val="17"/>
                <w:rtl/>
              </w:rPr>
              <w:t>خطأ التتبع (Tracking Error)</w:t>
            </w:r>
          </w:p>
        </w:tc>
        <w:tc>
          <w:tcPr>
            <w:tcW w:type="dxa" w:w="3326"/>
          </w:tcPr>
          <w:p>
            <w:pPr>
              <w:bidi w:val="1"/>
              <w:spacing w:before="0" w:after="0" w:line="264" w:lineRule="auto"/>
            </w:pPr>
            <w:r>
              <w:rPr>
                <w:rFonts w:ascii="Arial" w:hAnsi="Arial" w:cs="Arial" w:eastAsia="Arial"/>
                <w:color w:val="0E1E3A"/>
                <w:sz w:val="17"/>
                <w:szCs w:val="17"/>
                <w:rtl/>
              </w:rPr>
              <w:t>TE = √[ 1/(N − 1) · Σ[(Rp,i − Rb,i) − (Rp − Rb)]² ]</w:t>
            </w:r>
          </w:p>
        </w:tc>
        <w:tc>
          <w:tcPr>
            <w:tcW w:type="dxa" w:w="3326"/>
          </w:tcPr>
          <w:p>
            <w:pPr>
              <w:bidi w:val="1"/>
              <w:spacing w:before="0" w:after="0" w:line="264" w:lineRule="auto"/>
            </w:pPr>
            <w:r>
              <w:rPr>
                <w:rFonts w:ascii="Arial" w:hAnsi="Arial" w:cs="Arial" w:eastAsia="Arial"/>
                <w:color w:val="0E1E3A"/>
                <w:sz w:val="17"/>
                <w:szCs w:val="17"/>
                <w:rtl/>
              </w:rPr>
              <w:t>where</w:t>
            </w:r>
            <w:r>
              <w:br/>
            </w:r>
            <w:r>
              <w:rPr>
                <w:rFonts w:ascii="Arial" w:hAnsi="Arial" w:cs="Arial" w:eastAsia="Arial"/>
                <w:color w:val="0E1E3A"/>
                <w:sz w:val="17"/>
                <w:szCs w:val="17"/>
                <w:rtl/>
              </w:rPr>
              <w:t>Rp,i = Portfolio return in period i</w:t>
            </w:r>
            <w:r>
              <w:br/>
            </w:r>
            <w:r>
              <w:rPr>
                <w:rFonts w:ascii="Arial" w:hAnsi="Arial" w:cs="Arial" w:eastAsia="Arial"/>
                <w:color w:val="0E1E3A"/>
                <w:sz w:val="17"/>
                <w:szCs w:val="17"/>
                <w:rtl/>
              </w:rPr>
              <w:t>Rb,i = Portfolio return in period i</w:t>
            </w:r>
            <w:r>
              <w:br/>
            </w:r>
            <w:r>
              <w:rPr>
                <w:rFonts w:ascii="Arial" w:hAnsi="Arial" w:cs="Arial" w:eastAsia="Arial"/>
                <w:color w:val="0E1E3A"/>
                <w:sz w:val="17"/>
                <w:szCs w:val="17"/>
                <w:rtl/>
              </w:rPr>
              <w:t>Rp = Average portfolio return</w:t>
            </w:r>
            <w:r>
              <w:br/>
            </w:r>
            <w:r>
              <w:rPr>
                <w:rFonts w:ascii="Arial" w:hAnsi="Arial" w:cs="Arial" w:eastAsia="Arial"/>
                <w:color w:val="0E1E3A"/>
                <w:sz w:val="17"/>
                <w:szCs w:val="17"/>
                <w:rtl/>
              </w:rPr>
              <w:t>Rb = Average portfolio return</w:t>
            </w:r>
            <w:r>
              <w:br/>
            </w:r>
            <w:r>
              <w:rPr>
                <w:rFonts w:ascii="Arial" w:hAnsi="Arial" w:cs="Arial" w:eastAsia="Arial"/>
                <w:color w:val="0E1E3A"/>
                <w:sz w:val="17"/>
                <w:szCs w:val="17"/>
                <w:rtl/>
              </w:rPr>
              <w:t>N = Number of periods</w:t>
            </w:r>
          </w:p>
        </w:tc>
      </w:tr>
      <w:tr>
        <w:tc>
          <w:tcPr>
            <w:tcW w:type="dxa" w:w="3326"/>
          </w:tcPr>
          <w:p>
            <w:pPr>
              <w:bidi w:val="1"/>
              <w:spacing w:before="0" w:after="0" w:line="264" w:lineRule="auto"/>
            </w:pPr>
            <w:r>
              <w:rPr>
                <w:rFonts w:ascii="Arial" w:hAnsi="Arial" w:cs="Arial" w:eastAsia="Arial"/>
                <w:color w:val="0E1E3A"/>
                <w:sz w:val="17"/>
                <w:szCs w:val="17"/>
                <w:rtl/>
              </w:rPr>
              <w:t>بيتا (Beta)</w:t>
            </w:r>
          </w:p>
        </w:tc>
        <w:tc>
          <w:tcPr>
            <w:tcW w:type="dxa" w:w="3326"/>
          </w:tcPr>
          <w:p>
            <w:pPr>
              <w:bidi w:val="1"/>
              <w:spacing w:before="0" w:after="0" w:line="264" w:lineRule="auto"/>
            </w:pPr>
            <w:r>
              <w:rPr>
                <w:rFonts w:ascii="Arial" w:hAnsi="Arial" w:cs="Arial" w:eastAsia="Arial"/>
                <w:color w:val="0E1E3A"/>
                <w:sz w:val="17"/>
                <w:szCs w:val="17"/>
                <w:rtl/>
              </w:rPr>
              <w:t>β = Cov(Rp, Rb) / Var (Rb)</w:t>
            </w:r>
          </w:p>
        </w:tc>
        <w:tc>
          <w:tcPr>
            <w:tcW w:type="dxa" w:w="3326"/>
          </w:tcPr>
          <w:p>
            <w:pPr>
              <w:bidi w:val="1"/>
              <w:spacing w:before="0" w:after="0" w:line="264" w:lineRule="auto"/>
            </w:pPr>
            <w:r>
              <w:rPr>
                <w:rFonts w:ascii="Arial" w:hAnsi="Arial" w:cs="Arial" w:eastAsia="Arial"/>
                <w:color w:val="0E1E3A"/>
                <w:sz w:val="17"/>
                <w:szCs w:val="17"/>
                <w:rtl/>
              </w:rPr>
              <w:t>where</w:t>
            </w:r>
            <w:r>
              <w:br/>
            </w:r>
            <w:r>
              <w:rPr>
                <w:rFonts w:ascii="Arial" w:hAnsi="Arial" w:cs="Arial" w:eastAsia="Arial"/>
                <w:color w:val="0E1E3A"/>
                <w:sz w:val="17"/>
                <w:szCs w:val="17"/>
                <w:rtl/>
              </w:rPr>
              <w:t>Cov(Rp, Rb)= covariance between portfolio and benchmark returns</w:t>
            </w:r>
            <w:r>
              <w:br/>
            </w:r>
            <w:r>
              <w:rPr>
                <w:rFonts w:ascii="Arial" w:hAnsi="Arial" w:cs="Arial" w:eastAsia="Arial"/>
                <w:color w:val="0E1E3A"/>
                <w:sz w:val="17"/>
                <w:szCs w:val="17"/>
                <w:rtl/>
              </w:rPr>
              <w:t>Var (Rb)= variance of benchmark returns</w:t>
            </w:r>
          </w:p>
        </w:tc>
      </w:tr>
      <w:tr>
        <w:tc>
          <w:tcPr>
            <w:tcW w:type="dxa" w:w="3326"/>
          </w:tcPr>
          <w:p>
            <w:pPr>
              <w:bidi w:val="1"/>
              <w:spacing w:before="0" w:after="0" w:line="264" w:lineRule="auto"/>
            </w:pPr>
            <w:r>
              <w:rPr>
                <w:rFonts w:ascii="Arial" w:hAnsi="Arial" w:cs="Arial" w:eastAsia="Arial"/>
                <w:color w:val="0E1E3A"/>
                <w:sz w:val="17"/>
                <w:szCs w:val="17"/>
                <w:rtl/>
              </w:rPr>
              <w:t>ألفا (Alpha)</w:t>
            </w:r>
          </w:p>
        </w:tc>
        <w:tc>
          <w:tcPr>
            <w:tcW w:type="dxa" w:w="3326"/>
          </w:tcPr>
          <w:p>
            <w:pPr>
              <w:bidi w:val="1"/>
              <w:spacing w:before="0" w:after="0" w:line="264" w:lineRule="auto"/>
            </w:pPr>
            <w:r>
              <w:rPr>
                <w:rFonts w:ascii="Arial" w:hAnsi="Arial" w:cs="Arial" w:eastAsia="Arial"/>
                <w:color w:val="0E1E3A"/>
                <w:sz w:val="17"/>
                <w:szCs w:val="17"/>
                <w:rtl/>
              </w:rPr>
              <w:t>α = Rp − [ Rf + β ∗ (Rb − Rf)]</w:t>
            </w:r>
          </w:p>
        </w:tc>
        <w:tc>
          <w:tcPr>
            <w:tcW w:type="dxa" w:w="3326"/>
          </w:tcPr>
          <w:p>
            <w:pPr>
              <w:bidi w:val="1"/>
              <w:spacing w:before="0" w:after="0" w:line="264" w:lineRule="auto"/>
            </w:pPr>
            <w:r>
              <w:rPr>
                <w:rFonts w:ascii="Arial" w:hAnsi="Arial" w:cs="Arial" w:eastAsia="Arial"/>
                <w:color w:val="0E1E3A"/>
                <w:sz w:val="17"/>
                <w:szCs w:val="17"/>
                <w:rtl/>
              </w:rPr>
              <w:t>where</w:t>
            </w:r>
            <w:r>
              <w:br/>
            </w:r>
            <w:r>
              <w:rPr>
                <w:rFonts w:ascii="Arial" w:hAnsi="Arial" w:cs="Arial" w:eastAsia="Arial"/>
                <w:color w:val="0E1E3A"/>
                <w:sz w:val="17"/>
                <w:szCs w:val="17"/>
                <w:rtl/>
              </w:rPr>
              <w:t>(Rp)= average portfolio return</w:t>
            </w:r>
            <w:r>
              <w:br/>
            </w:r>
            <w:r>
              <w:rPr>
                <w:rFonts w:ascii="Arial" w:hAnsi="Arial" w:cs="Arial" w:eastAsia="Arial"/>
                <w:color w:val="0E1E3A"/>
                <w:sz w:val="17"/>
                <w:szCs w:val="17"/>
                <w:rtl/>
              </w:rPr>
              <w:t>(Rb)= average benchmark return</w:t>
            </w:r>
            <w:r>
              <w:br/>
            </w:r>
            <w:r>
              <w:rPr>
                <w:rFonts w:ascii="Arial" w:hAnsi="Arial" w:cs="Arial" w:eastAsia="Arial"/>
                <w:color w:val="0E1E3A"/>
                <w:sz w:val="17"/>
                <w:szCs w:val="17"/>
                <w:rtl/>
              </w:rPr>
              <w:t>(Rf)= risk free rate</w:t>
            </w:r>
            <w:r>
              <w:br/>
            </w:r>
            <w:r>
              <w:rPr>
                <w:rFonts w:ascii="Arial" w:hAnsi="Arial" w:cs="Arial" w:eastAsia="Arial"/>
                <w:color w:val="0E1E3A"/>
                <w:sz w:val="17"/>
                <w:szCs w:val="17"/>
                <w:rtl/>
              </w:rPr>
              <w:t>β= portfolio beta</w:t>
            </w:r>
          </w:p>
        </w:tc>
      </w:tr>
      <w:tr>
        <w:tc>
          <w:tcPr>
            <w:tcW w:type="dxa" w:w="3326"/>
          </w:tcPr>
          <w:p>
            <w:pPr>
              <w:bidi w:val="1"/>
              <w:spacing w:before="0" w:after="0" w:line="264" w:lineRule="auto"/>
            </w:pPr>
            <w:r>
              <w:rPr>
                <w:rFonts w:ascii="Arial" w:hAnsi="Arial" w:cs="Arial" w:eastAsia="Arial"/>
                <w:color w:val="0E1E3A"/>
                <w:sz w:val="17"/>
                <w:szCs w:val="17"/>
                <w:rtl/>
              </w:rPr>
              <w:t>مؤشر المعلومات</w:t>
            </w:r>
          </w:p>
        </w:tc>
        <w:tc>
          <w:tcPr>
            <w:tcW w:type="dxa" w:w="3326"/>
          </w:tcPr>
          <w:p>
            <w:pPr>
              <w:bidi w:val="1"/>
              <w:spacing w:before="0" w:after="0" w:line="264" w:lineRule="auto"/>
            </w:pPr>
            <w:r>
              <w:rPr>
                <w:rFonts w:ascii="Arial" w:hAnsi="Arial" w:cs="Arial" w:eastAsia="Arial"/>
                <w:color w:val="0E1E3A"/>
                <w:sz w:val="17"/>
                <w:szCs w:val="17"/>
                <w:rtl/>
              </w:rPr>
              <w:t>IR = (Rp − Rb) / σ (Rp − Rb)</w:t>
            </w:r>
          </w:p>
        </w:tc>
        <w:tc>
          <w:tcPr>
            <w:tcW w:type="dxa" w:w="3326"/>
          </w:tcPr>
          <w:p>
            <w:pPr>
              <w:bidi w:val="1"/>
              <w:spacing w:before="0" w:after="0" w:line="264" w:lineRule="auto"/>
            </w:pPr>
            <w:r>
              <w:rPr>
                <w:rFonts w:ascii="Arial" w:hAnsi="Arial" w:cs="Arial" w:eastAsia="Arial"/>
                <w:color w:val="0E1E3A"/>
                <w:sz w:val="17"/>
                <w:szCs w:val="17"/>
                <w:rtl/>
              </w:rPr>
              <w:t>where</w:t>
            </w:r>
            <w:r>
              <w:br/>
            </w:r>
            <w:r>
              <w:rPr>
                <w:rFonts w:ascii="Arial" w:hAnsi="Arial" w:cs="Arial" w:eastAsia="Arial"/>
                <w:color w:val="0E1E3A"/>
                <w:sz w:val="17"/>
                <w:szCs w:val="17"/>
                <w:rtl/>
              </w:rPr>
              <w:t>Rp = Return of the portfolio</w:t>
            </w:r>
            <w:r>
              <w:br/>
            </w:r>
            <w:r>
              <w:rPr>
                <w:rFonts w:ascii="Arial" w:hAnsi="Arial" w:cs="Arial" w:eastAsia="Arial"/>
                <w:color w:val="0E1E3A"/>
                <w:sz w:val="17"/>
                <w:szCs w:val="17"/>
                <w:rtl/>
              </w:rPr>
              <w:t>Rb = Return of the benchmark</w:t>
            </w:r>
            <w:r>
              <w:br/>
            </w:r>
            <w:r>
              <w:rPr>
                <w:rFonts w:ascii="Arial" w:hAnsi="Arial" w:cs="Arial" w:eastAsia="Arial"/>
                <w:color w:val="0E1E3A"/>
                <w:sz w:val="17"/>
                <w:szCs w:val="17"/>
                <w:rtl/>
              </w:rPr>
              <w:t>Rp-Rb = Active return (the difference between portfolio and benchmark returns</w:t>
            </w:r>
            <w:r>
              <w:br/>
            </w:r>
            <w:r>
              <w:rPr>
                <w:rFonts w:ascii="Arial" w:hAnsi="Arial" w:cs="Arial" w:eastAsia="Arial"/>
                <w:color w:val="0E1E3A"/>
                <w:sz w:val="17"/>
                <w:szCs w:val="17"/>
                <w:rtl/>
              </w:rPr>
              <w:t>σ(Rp−Rb) = Tracking error (standard deviation of the active return)</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1" name="Picture 9050"/>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ف.</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رسم بياني يوضح الأداء منذ بداية الصندوق:</w:t>
      </w:r>
    </w:p>
    <w:p>
      <w:pPr>
        <w:bidi w:val="1"/>
        <w:spacing w:before="0" w:after="80" w:line="240" w:lineRule="auto"/>
        <w:jc w:val="center"/>
      </w:pPr>
      <w:r>
        <w:drawing>
          <wp:inline xmlns:a="http://schemas.openxmlformats.org/drawingml/2006/main" xmlns:pic="http://schemas.openxmlformats.org/drawingml/2006/picture">
            <wp:extent cx="6336000" cy="2825514"/>
            <wp:docPr id="22" name="Picture 9051"/>
            <wp:cNvGraphicFramePr>
              <a:graphicFrameLocks noChangeAspect="1"/>
            </wp:cNvGraphicFramePr>
            <a:graphic>
              <a:graphicData uri="http://schemas.openxmlformats.org/drawingml/2006/picture">
                <pic:pic>
                  <pic:nvPicPr>
                    <pic:cNvPr id="0" name="x5.j.jpg"/>
                    <pic:cNvPicPr/>
                  </pic:nvPicPr>
                  <pic:blipFill>
                    <a:blip r:embed="rId22"/>
                    <a:stretch>
                      <a:fillRect/>
                    </a:stretch>
                  </pic:blipFill>
                  <pic:spPr>
                    <a:xfrm>
                      <a:off x="0" y="0"/>
                      <a:ext cx="6336000" cy="2825514"/>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كما في تاريخ 31 مارس 2026م.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3" name="Picture 9052"/>
            <wp:cNvGraphicFramePr>
              <a:graphicFrameLocks noChangeAspect="1"/>
            </wp:cNvGraphicFramePr>
            <a:graphic>
              <a:graphicData uri="http://schemas.openxmlformats.org/drawingml/2006/picture">
                <pic:pic>
                  <pic:nvPicPr>
                    <pic:cNvPr id="0" name="ico_8eba3796ad497c7a142d47da7c90fea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للحصول على المزيد من المعلومات</w:t>
      </w:r>
    </w:p>
    <w:p>
      <w:pPr>
        <w:bidi w:val="1"/>
        <w:spacing w:before="0" w:after="80" w:line="312" w:lineRule="auto"/>
      </w:pPr>
      <w:r>
        <w:rPr>
          <w:rFonts w:ascii="Arial" w:hAnsi="Arial" w:cs="Arial" w:eastAsia="Arial"/>
          <w:color w:val="0E1E3A"/>
          <w:sz w:val="20"/>
          <w:szCs w:val="20"/>
          <w:rtl/>
        </w:rPr>
        <w:t>شركة "الخبير المالية"</w:t>
      </w:r>
      <w:r>
        <w:br/>
      </w:r>
      <w:r>
        <w:rPr>
          <w:rFonts w:ascii="Arial" w:hAnsi="Arial" w:cs="Arial" w:eastAsia="Arial"/>
          <w:color w:val="0E1E3A"/>
          <w:sz w:val="20"/>
          <w:szCs w:val="20"/>
          <w:rtl/>
        </w:rPr>
        <w:t>ص.ب 128289 جدة 21362</w:t>
      </w:r>
      <w:r>
        <w:br/>
      </w:r>
      <w:r>
        <w:rPr>
          <w:rFonts w:ascii="Arial" w:hAnsi="Arial" w:cs="Arial" w:eastAsia="Arial"/>
          <w:color w:val="0E1E3A"/>
          <w:sz w:val="20"/>
          <w:szCs w:val="20"/>
          <w:rtl/>
        </w:rPr>
        <w:t>المملكة العربية السعودية</w:t>
      </w:r>
      <w:r>
        <w:br/>
      </w:r>
      <w:r>
        <w:rPr>
          <w:rFonts w:ascii="Arial" w:hAnsi="Arial" w:cs="Arial" w:eastAsia="Arial"/>
          <w:color w:val="0E1E3A"/>
          <w:sz w:val="20"/>
          <w:szCs w:val="20"/>
          <w:rtl/>
        </w:rPr>
        <w:t xml:space="preserve">هاتف: </w:t>
      </w:r>
      <w:r>
        <w:rPr>
          <w:rFonts w:ascii="Arial" w:hAnsi="Arial" w:cs="Arial" w:eastAsia="Arial"/>
          <w:color w:val="0E1E3A"/>
          <w:sz w:val="20"/>
          <w:szCs w:val="20"/>
        </w:rPr>
        <w:t>‎+966 12 658 8888‎</w:t>
      </w:r>
      <w:r>
        <w:br/>
      </w:r>
      <w:r>
        <w:rPr>
          <w:rFonts w:ascii="Arial" w:hAnsi="Arial" w:cs="Arial" w:eastAsia="Arial"/>
          <w:color w:val="0E1E3A"/>
          <w:sz w:val="20"/>
          <w:szCs w:val="20"/>
          <w:rtl/>
        </w:rPr>
        <w:t xml:space="preserve">فاكس: </w:t>
      </w:r>
      <w:r>
        <w:rPr>
          <w:rFonts w:ascii="Arial" w:hAnsi="Arial" w:cs="Arial" w:eastAsia="Arial"/>
          <w:color w:val="0E1E3A"/>
          <w:sz w:val="20"/>
          <w:szCs w:val="20"/>
        </w:rPr>
        <w:t>‎+966 12 658 6663‎</w:t>
      </w:r>
      <w:r>
        <w:br/>
      </w:r>
      <w:r>
        <w:rPr>
          <w:rFonts w:ascii="Arial" w:hAnsi="Arial" w:cs="Arial" w:eastAsia="Arial"/>
          <w:color w:val="0E1E3A"/>
          <w:sz w:val="20"/>
          <w:szCs w:val="20"/>
          <w:rtl/>
        </w:rPr>
        <w:t>البريد الإلكتروني: info@alkhabeer.com</w:t>
      </w:r>
      <w:r>
        <w:br/>
      </w:r>
      <w:r>
        <w:rPr>
          <w:rFonts w:ascii="Arial" w:hAnsi="Arial" w:cs="Arial" w:eastAsia="Arial"/>
          <w:color w:val="0E1E3A"/>
          <w:sz w:val="20"/>
          <w:szCs w:val="20"/>
          <w:rtl/>
        </w:rPr>
        <w:t>رقم السجل التجاري: 4030177445</w:t>
      </w:r>
      <w:r>
        <w:br/>
      </w:r>
      <w:r>
        <w:rPr>
          <w:rFonts w:ascii="Arial" w:hAnsi="Arial" w:cs="Arial" w:eastAsia="Arial"/>
          <w:color w:val="0E1E3A"/>
          <w:sz w:val="20"/>
          <w:szCs w:val="20"/>
          <w:rtl/>
        </w:rPr>
        <w:t xml:space="preserve">الرخصة الصادرة من هيئة السوق المالية: </w:t>
      </w:r>
      <w:r>
        <w:rPr>
          <w:rFonts w:ascii="Arial" w:hAnsi="Arial" w:cs="Arial" w:eastAsia="Arial"/>
          <w:color w:val="0E1E3A"/>
          <w:sz w:val="20"/>
          <w:szCs w:val="20"/>
        </w:rPr>
        <w:t>‎07074-37‎</w:t>
      </w:r>
      <w:r>
        <w:br/>
      </w:r>
      <w:r>
        <w:rPr>
          <w:rFonts w:ascii="Arial" w:hAnsi="Arial" w:cs="Arial" w:eastAsia="Arial"/>
          <w:color w:val="0E1E3A"/>
          <w:sz w:val="20"/>
          <w:szCs w:val="20"/>
          <w:rtl/>
        </w:rPr>
        <w:t>www.alkhabeer.com</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4" name="Picture 9053"/>
            <wp:cNvGraphicFramePr>
              <a:graphicFrameLocks noChangeAspect="1"/>
            </wp:cNvGraphicFramePr>
            <a:graphic>
              <a:graphicData uri="http://schemas.openxmlformats.org/drawingml/2006/picture">
                <pic:pic>
                  <pic:nvPicPr>
                    <pic:cNvPr id="0" name="ico_31799530e5dd3dc5b4ca7f2d37945432.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إشعار مهم</w:t>
      </w:r>
    </w:p>
    <w:p>
      <w:pPr>
        <w:bidi w:val="1"/>
        <w:spacing w:before="0" w:after="80" w:line="312" w:lineRule="auto"/>
      </w:pPr>
      <w:r>
        <w:rPr>
          <w:rFonts w:ascii="Arial" w:hAnsi="Arial" w:cs="Arial" w:eastAsia="Arial"/>
          <w:color w:val="5A6478"/>
          <w:sz w:val="17"/>
          <w:szCs w:val="17"/>
          <w:rtl/>
        </w:rPr>
        <w:t>لا تمثل هذه الوثيقة عرضا للشراء، أو الاكتتاب، أو المشاركة بأي شكل في صندوق "الخبير للدخل المتنوع المتداول"، ولا تشكل الوثيقة (أو أي جزء منها) أساسا، ولا ينبغي الاعتماد عليها للقيام بما تقدم أو محفزا لإبرام أي تعاقد مهما كان نوعه. يجب على المستثمرين المحتملين قراءة شروط وأحكام صندوق "الخبير للدخل" وما ورد فيها بشأن مخاطر الاستثمار ووثائقه الأخرى بعناية ودقة قبل اتخاذ القرار وذلك من خلال الموقع الإلكتروني لشركة "الخبير المالية": www.alkhabeer.com. هذا الاستثمار ليس وديعة نقدية لدى بنك محلي. ويمكن أن ترتفع أو تنخفض قيمة الاستثمار وأي دخل آخر متحقق منه. كما يتوجب على جميع المستثمرين الراغبين في الاستثمار التوصل إلى قرارهم بالتشاور مع مستشاريهم الماليين والقانونيين وتقييم جميع المخاطر التي ينطوي عليها الاستثمار. كما لا يمكن إعطاء ضمان بأن النتائج المستهدفة والمتوقعة سوف تتحقق، وبالإضافة إلى ذلك، فإن الأداء السابق لا يضمن النتائج المستقبلية للصندوق. يعد استثمار المستثمر في الصندوق إقرارا منه باطلاعه على شروط وأحكام الصندوق وقبوله بها. تنتفي المسؤولية عن مدير الصندوق أو أي من تابعيه في حال وقوع أي خسارة مالية للصندوق ما لم يكن ذلك ناتجا عن أسباب متعمدة من قبل مدير الصندوق. الاستثمار في الصندوق خاضع للرسوم كما هو مذكور في الشروط والأحكام.</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bidi w:val="1"/>
      <w:spacing w:before="0" w:after="0" w:line="240" w:lineRule="auto"/>
    </w:pPr>
    <w:r/>
    <w:r>
      <w:rPr>
        <w:rFonts w:ascii="Arial" w:hAnsi="Arial" w:cs="Arial" w:eastAsia="Arial"/>
        <w:color w:val="5A6478"/>
        <w:sz w:val="15"/>
        <w:szCs w:val="15"/>
        <w:rtl/>
      </w:rPr>
      <w:t>البيان الربع سنوي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ar-SA"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Arial" w:hAnsi="Arial" w:cs="Arial" w:eastAsia="Arial"/>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val="1"/>
      <w:spacing w:before="0" w:after="100"/>
      <w:outlineLvl w:val="0"/>
    </w:pPr>
    <w:rPr>
      <w:rFonts w:ascii="Arial" w:hAnsi="Arial" w:cs="Arial" w:eastAsia="Arial"/>
      <w:b/>
      <w:bCs/>
      <w:color w:val="12284B"/>
      <w:sz w:val="36"/>
      <w:szCs w:val="28"/>
      <w:rtl/>
    </w:rPr>
  </w:style>
  <w:style w:type="paragraph" w:styleId="Heading2">
    <w:name w:val="heading 2"/>
    <w:basedOn w:val="Normal"/>
    <w:next w:val="Normal"/>
    <w:link w:val="Heading2Char"/>
    <w:uiPriority w:val="9"/>
    <w:unhideWhenUsed/>
    <w:qFormat/>
    <w:rsid w:val="00FC693F"/>
    <w:pPr>
      <w:keepNext/>
      <w:keepLines/>
      <w:bidi w:val="1"/>
      <w:spacing w:before="200" w:after="100"/>
      <w:outlineLvl w:val="1"/>
    </w:pPr>
    <w:rPr>
      <w:rFonts w:ascii="Arial" w:hAnsi="Arial" w:cs="Arial" w:eastAsia="Arial"/>
      <w:b/>
      <w:bCs/>
      <w:color w:val="12284B"/>
      <w:sz w:val="26"/>
      <w:szCs w:val="26"/>
      <w:rtl/>
    </w:rPr>
  </w:style>
  <w:style w:type="paragraph" w:styleId="Heading3">
    <w:name w:val="heading 3"/>
    <w:basedOn w:val="Normal"/>
    <w:next w:val="Normal"/>
    <w:link w:val="Heading3Char"/>
    <w:uiPriority w:val="9"/>
    <w:unhideWhenUsed/>
    <w:qFormat/>
    <w:rsid w:val="00FC693F"/>
    <w:pPr>
      <w:keepNext/>
      <w:keepLines/>
      <w:bidi w:val="1"/>
      <w:spacing w:before="200" w:after="100"/>
      <w:outlineLvl w:val="2"/>
    </w:pPr>
    <w:rPr>
      <w:rFonts w:ascii="Arial" w:hAnsi="Arial" w:cs="Arial" w:eastAsia="Arial"/>
      <w:b/>
      <w:bCs/>
      <w:color w:val="12284B"/>
      <w:sz w:val="22"/>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val="1"/>
      <w:spacing w:after="300" w:line="240" w:lineRule="auto"/>
      <w:contextualSpacing/>
    </w:pPr>
    <w:rPr>
      <w:rFonts w:ascii="Arial" w:hAnsi="Arial" w:cs="Arial" w:eastAsia="Arial"/>
      <w:color w:val="17365D" w:themeColor="text2" w:themeShade="BF"/>
      <w:spacing w:val="5"/>
      <w:kern w:val="28"/>
      <w:sz w:val="52"/>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val="1"/>
      <w:ind w:left="720"/>
      <w:contextualSpacing/>
    </w:pPr>
    <w:rPr>
      <w:rFonts w:ascii="Arial" w:hAnsi="Arial" w:cs="Arial" w:eastAsia="Arial"/>
      <w:rt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pn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jp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صندوق الخبير للدخل المتنوع المتداول — البيان الربع سنوي الربع الأول 2026م</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ar-SA</dc:language>
</cp:coreProperties>
</file>