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0"/>
            <wp:cNvGraphicFramePr/>
            <a:graphic>
              <a:graphicData uri="http://schemas.openxmlformats.org/drawingml/2006/picture">
                <pic:pic>
                  <pic:nvPicPr>
                    <pic:cNvPr id="9030" name="banner903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investment objective is to generate periodic income to investors by investing in income generating assets, Trade Financing Transactions, Leasing Transactions, Income Funds and Murabaha transactions, either directly or by way of Shari'a compliant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 (NAV per Unit)</w:t>
            </w:r>
          </w:p>
        </w:tc>
        <w:tc>
          <w:tcPr>
            <w:tcW w:type="dxa" w:w="6860"/>
          </w:tcPr>
          <w:p>
            <w:pPr>
              <w:spacing w:before="0" w:after="0" w:line="276" w:lineRule="auto"/>
            </w:pPr>
            <w:r>
              <w:rPr>
                <w:rFonts w:ascii="Arial" w:hAnsi="Arial" w:cs="Arial" w:eastAsia="Arial"/>
                <w:b/>
                <w:bCs/>
                <w:color w:val="0E1E3A"/>
                <w:sz w:val="18"/>
                <w:szCs w:val="18"/>
              </w:rPr>
              <w:t>SAR 8.9501</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425,563,392</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SAR</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Annually, in February and August of each Year</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0.25%</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31 March 2026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The Fund Manager continues to closely monitor the exit process from its "Prestige Premium Agricultural" income fund with KPMG LLP, which is overseeing the optional exit. The most recent valuation of Prestige Premium Agricultural Income Fund (US $25.87 per Unit) received by the Fund Manager was applied to the most recent valuation of Alkhabeer Diversified Income Traded Fund. Unitholders will be kept informed of any material developments as and when they occur.</w:t>
      </w:r>
    </w:p>
    <w:p>
      <w:pPr>
        <w:spacing w:before="0" w:after="80" w:line="312" w:lineRule="auto"/>
      </w:pPr>
      <w:r>
        <w:rPr>
          <w:rFonts w:ascii="Arial" w:hAnsi="Arial" w:cs="Arial" w:eastAsia="Arial"/>
          <w:color w:val="0E1E3A"/>
          <w:sz w:val="20"/>
          <w:szCs w:val="20"/>
        </w:rPr>
        <w:t>The Fund Manager also acknowledges that the exit process currently in progress by the Fund Manager, involves a number of risks, including: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Potential delay in the exit time line or generating less than expected returns.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Decrease of the investment value if underlying assets are sold at less than their book value.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Risk of inability to recover the full value of the invested capital in the event the Fund faces unforeseen additional obligations or expenses after its liquidation.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5"/>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(March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(March 2026)</w:t>
            </w:r>
          </w:p>
        </w:tc>
        <w:tc>
          <w:tcPr>
            <w:tcW w:type="dxa" w:w="6860"/>
          </w:tcPr>
          <w:p>
            <w:pPr>
              <w:spacing w:before="0" w:after="0" w:line="276" w:lineRule="auto"/>
            </w:pPr>
            <w:r>
              <w:rPr>
                <w:rFonts w:ascii="Arial" w:hAnsi="Arial" w:cs="Arial" w:eastAsia="Arial"/>
                <w:b/>
                <w:bCs/>
                <w:color w:val="0E1E3A"/>
                <w:sz w:val="18"/>
                <w:szCs w:val="18"/>
              </w:rPr>
              <w:t>SAR 4.89</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-8.08%</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423,175,560</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Q1 (March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1,755,903</w:t>
            </w:r>
          </w:p>
        </w:tc>
        <w:tc>
          <w:tcPr>
            <w:tcW w:type="dxa" w:w="3326"/>
          </w:tcPr>
          <w:p>
            <w:pPr>
              <w:spacing w:before="0" w:after="0" w:line="264" w:lineRule="auto"/>
            </w:pPr>
            <w:r>
              <w:rPr>
                <w:rFonts w:ascii="Arial" w:hAnsi="Arial" w:cs="Arial" w:eastAsia="Arial"/>
                <w:color w:val="0E1E3A"/>
                <w:sz w:val="17"/>
                <w:szCs w:val="17"/>
              </w:rPr>
              <w:t>0.41%</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 from Fund's Asset Value</w:t>
            </w:r>
          </w:p>
        </w:tc>
        <w:tc>
          <w:tcPr>
            <w:tcW w:type="dxa" w:w="3326"/>
          </w:tcPr>
          <w:p>
            <w:pPr>
              <w:spacing w:before="0" w:after="0" w:line="264" w:lineRule="auto"/>
            </w:pPr>
            <w:r>
              <w:rPr>
                <w:rFonts w:ascii="Arial" w:hAnsi="Arial" w:cs="Arial" w:eastAsia="Arial"/>
                <w:color w:val="0E1E3A"/>
                <w:sz w:val="17"/>
                <w:szCs w:val="17"/>
              </w:rPr>
              <w:t>SAR 7,565,035</w:t>
            </w:r>
          </w:p>
        </w:tc>
        <w:tc>
          <w:tcPr>
            <w:tcW w:type="dxa" w:w="3326"/>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9"/>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9622"/>
            <wp:docPr id="12" name="Picture 9041"/>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9622"/>
                    </a:xfrm>
                    <a:prstGeom prst="rect"/>
                  </pic:spPr>
                </pic:pic>
              </a:graphicData>
            </a:graphic>
          </wp:inline>
        </w:drawing>
      </w:r>
    </w:p>
    <w:p>
      <w:pPr>
        <w:spacing w:before="0" w:after="80" w:line="312" w:lineRule="auto"/>
      </w:pP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Q1</w:t>
            </w:r>
          </w:p>
        </w:tc>
        <w:tc>
          <w:tcPr>
            <w:tcW w:type="dxa" w:w="6860"/>
          </w:tcPr>
          <w:p>
            <w:pPr>
              <w:spacing w:before="0" w:after="0" w:line="276" w:lineRule="auto"/>
            </w:pPr>
            <w:r>
              <w:rPr>
                <w:rFonts w:ascii="Arial" w:hAnsi="Arial" w:cs="Arial" w:eastAsia="Arial"/>
                <w:b/>
                <w:bCs/>
                <w:color w:val="0E1E3A"/>
                <w:sz w:val="18"/>
                <w:szCs w:val="18"/>
              </w:rPr>
              <w:t>SAR 7,565,035.20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Q1</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Q1</w:t>
            </w:r>
          </w:p>
        </w:tc>
        <w:tc>
          <w:tcPr>
            <w:tcW w:type="dxa" w:w="6860"/>
          </w:tcPr>
          <w:p>
            <w:pPr>
              <w:spacing w:before="0" w:after="0" w:line="276" w:lineRule="auto"/>
            </w:pPr>
            <w:r>
              <w:rPr>
                <w:rFonts w:ascii="Arial" w:hAnsi="Arial" w:cs="Arial" w:eastAsia="Arial"/>
                <w:b/>
                <w:bCs/>
                <w:color w:val="0E1E3A"/>
                <w:sz w:val="18"/>
                <w:szCs w:val="18"/>
              </w:rPr>
              <w:t>SAR 0.16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1.8%</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Unitholders' Register as at Close of Business on Monday, 16 February 2026 (end of trading on Thursday, 12 February 2026).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Moody’s</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27 November 2024</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45"/>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46"/>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Average investment term of the Fund is 3-4 years.</w:t>
      </w:r>
      <w:r>
        <w:br/>
      </w: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 ****</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0.71%</w:t>
            </w:r>
          </w:p>
        </w:tc>
        <w:tc>
          <w:tcPr>
            <w:tcW w:type="dxa" w:w="1663"/>
          </w:tcPr>
          <w:p>
            <w:pPr>
              <w:spacing w:before="0" w:after="0" w:line="264" w:lineRule="auto"/>
            </w:pPr>
            <w:r>
              <w:rPr>
                <w:rFonts w:ascii="Arial" w:hAnsi="Arial" w:cs="Arial" w:eastAsia="Arial"/>
                <w:color w:val="0E1E3A"/>
                <w:sz w:val="17"/>
                <w:szCs w:val="17"/>
              </w:rPr>
              <w:t>0.71%</w:t>
            </w:r>
          </w:p>
        </w:tc>
        <w:tc>
          <w:tcPr>
            <w:tcW w:type="dxa" w:w="1663"/>
          </w:tcPr>
          <w:p>
            <w:pPr>
              <w:spacing w:before="0" w:after="0" w:line="264" w:lineRule="auto"/>
            </w:pPr>
            <w:r>
              <w:rPr>
                <w:rFonts w:ascii="Arial" w:hAnsi="Arial" w:cs="Arial" w:eastAsia="Arial"/>
                <w:color w:val="0E1E3A"/>
                <w:sz w:val="17"/>
                <w:szCs w:val="17"/>
              </w:rPr>
              <w:t>-2.59%</w:t>
            </w:r>
          </w:p>
        </w:tc>
        <w:tc>
          <w:tcPr>
            <w:tcW w:type="dxa" w:w="1663"/>
          </w:tcPr>
          <w:p>
            <w:pPr>
              <w:spacing w:before="0" w:after="0" w:line="264" w:lineRule="auto"/>
            </w:pPr>
            <w:r>
              <w:rPr>
                <w:rFonts w:ascii="Arial" w:hAnsi="Arial" w:cs="Arial" w:eastAsia="Arial"/>
                <w:color w:val="0E1E3A"/>
                <w:sz w:val="17"/>
                <w:szCs w:val="17"/>
              </w:rPr>
              <w:t>6.21%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1.57%</w:t>
            </w:r>
          </w:p>
        </w:tc>
        <w:tc>
          <w:tcPr>
            <w:tcW w:type="dxa" w:w="1663"/>
          </w:tcPr>
          <w:p>
            <w:pPr>
              <w:spacing w:before="0" w:after="0" w:line="264" w:lineRule="auto"/>
            </w:pPr>
            <w:r>
              <w:rPr>
                <w:rFonts w:ascii="Arial" w:hAnsi="Arial" w:cs="Arial" w:eastAsia="Arial"/>
                <w:color w:val="0E1E3A"/>
                <w:sz w:val="17"/>
                <w:szCs w:val="17"/>
              </w:rPr>
              <w:t>1.57%</w:t>
            </w:r>
          </w:p>
        </w:tc>
        <w:tc>
          <w:tcPr>
            <w:tcW w:type="dxa" w:w="1663"/>
          </w:tcPr>
          <w:p>
            <w:pPr>
              <w:spacing w:before="0" w:after="0" w:line="264" w:lineRule="auto"/>
            </w:pPr>
            <w:r>
              <w:rPr>
                <w:rFonts w:ascii="Arial" w:hAnsi="Arial" w:cs="Arial" w:eastAsia="Arial"/>
                <w:color w:val="0E1E3A"/>
                <w:sz w:val="17"/>
                <w:szCs w:val="17"/>
              </w:rPr>
              <w:t>6.74%</w:t>
            </w:r>
          </w:p>
        </w:tc>
        <w:tc>
          <w:tcPr>
            <w:tcW w:type="dxa" w:w="1663"/>
          </w:tcPr>
          <w:p>
            <w:pPr>
              <w:spacing w:before="0" w:after="0" w:line="264" w:lineRule="auto"/>
            </w:pPr>
            <w:r>
              <w:rPr>
                <w:rFonts w:ascii="Arial" w:hAnsi="Arial" w:cs="Arial" w:eastAsia="Arial"/>
                <w:color w:val="0E1E3A"/>
                <w:sz w:val="17"/>
                <w:szCs w:val="17"/>
              </w:rPr>
              <w:t>24.00%</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-0.85%</w:t>
            </w:r>
          </w:p>
        </w:tc>
        <w:tc>
          <w:tcPr>
            <w:tcW w:type="dxa" w:w="1663"/>
          </w:tcPr>
          <w:p>
            <w:pPr>
              <w:spacing w:before="0" w:after="0" w:line="264" w:lineRule="auto"/>
            </w:pPr>
            <w:r>
              <w:rPr>
                <w:rFonts w:ascii="Arial" w:hAnsi="Arial" w:cs="Arial" w:eastAsia="Arial"/>
                <w:color w:val="0E1E3A"/>
                <w:sz w:val="17"/>
                <w:szCs w:val="17"/>
              </w:rPr>
              <w:t>-0.85%</w:t>
            </w:r>
          </w:p>
        </w:tc>
        <w:tc>
          <w:tcPr>
            <w:tcW w:type="dxa" w:w="1663"/>
          </w:tcPr>
          <w:p>
            <w:pPr>
              <w:spacing w:before="0" w:after="0" w:line="264" w:lineRule="auto"/>
            </w:pPr>
            <w:r>
              <w:rPr>
                <w:rFonts w:ascii="Arial" w:hAnsi="Arial" w:cs="Arial" w:eastAsia="Arial"/>
                <w:color w:val="0E1E3A"/>
                <w:sz w:val="17"/>
                <w:szCs w:val="17"/>
              </w:rPr>
              <w:t>-9.33%</w:t>
            </w:r>
          </w:p>
        </w:tc>
        <w:tc>
          <w:tcPr>
            <w:tcW w:type="dxa" w:w="1663"/>
          </w:tcPr>
          <w:p>
            <w:pPr>
              <w:spacing w:before="0" w:after="0" w:line="264" w:lineRule="auto"/>
            </w:pPr>
            <w:r>
              <w:rPr>
                <w:rFonts w:ascii="Arial" w:hAnsi="Arial" w:cs="Arial" w:eastAsia="Arial"/>
                <w:color w:val="0E1E3A"/>
                <w:sz w:val="17"/>
                <w:szCs w:val="17"/>
              </w:rPr>
              <w:t>-17.79%</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1 January 2026 to 31 March 2026.</w:t>
      </w:r>
      <w:r>
        <w:br/>
      </w:r>
      <w:r>
        <w:rPr>
          <w:rFonts w:ascii="Arial" w:hAnsi="Arial" w:cs="Arial" w:eastAsia="Arial"/>
          <w:color w:val="5A6478"/>
          <w:sz w:val="17"/>
          <w:szCs w:val="17"/>
        </w:rPr>
        <w:t>*** For the period from 31 March 2025 to 31 March 2026.</w:t>
      </w:r>
      <w:r>
        <w:br/>
      </w:r>
      <w:r>
        <w:rPr>
          <w:rFonts w:ascii="Arial" w:hAnsi="Arial" w:cs="Arial" w:eastAsia="Arial"/>
          <w:color w:val="5A6478"/>
          <w:sz w:val="17"/>
          <w:szCs w:val="17"/>
        </w:rPr>
        <w:t>**** For the period from 31 March 2023 to 31 March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 ***</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0.10</w:t>
            </w:r>
          </w:p>
        </w:tc>
        <w:tc>
          <w:tcPr>
            <w:tcW w:type="dxa" w:w="1663"/>
          </w:tcPr>
          <w:p>
            <w:pPr>
              <w:spacing w:before="0" w:after="0" w:line="264" w:lineRule="auto"/>
            </w:pPr>
            <w:r>
              <w:rPr>
                <w:rFonts w:ascii="Arial" w:hAnsi="Arial" w:cs="Arial" w:eastAsia="Arial"/>
                <w:color w:val="0E1E3A"/>
                <w:sz w:val="17"/>
                <w:szCs w:val="17"/>
              </w:rPr>
              <w:t>0.13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-2.35</w:t>
            </w:r>
          </w:p>
        </w:tc>
        <w:tc>
          <w:tcPr>
            <w:tcW w:type="dxa" w:w="1663"/>
          </w:tcPr>
          <w:p>
            <w:pPr>
              <w:spacing w:before="0" w:after="0" w:line="264" w:lineRule="auto"/>
            </w:pPr>
            <w:r>
              <w:rPr>
                <w:rFonts w:ascii="Arial" w:hAnsi="Arial" w:cs="Arial" w:eastAsia="Arial"/>
                <w:color w:val="0E1E3A"/>
                <w:sz w:val="17"/>
                <w:szCs w:val="17"/>
              </w:rPr>
              <w:t>-2.35</w:t>
            </w:r>
          </w:p>
        </w:tc>
        <w:tc>
          <w:tcPr>
            <w:tcW w:type="dxa" w:w="1663"/>
          </w:tcPr>
          <w:p>
            <w:pPr>
              <w:spacing w:before="0" w:after="0" w:line="264" w:lineRule="auto"/>
            </w:pPr>
            <w:r>
              <w:rPr>
                <w:rFonts w:ascii="Arial" w:hAnsi="Arial" w:cs="Arial" w:eastAsia="Arial"/>
                <w:color w:val="0E1E3A"/>
                <w:sz w:val="17"/>
                <w:szCs w:val="17"/>
              </w:rPr>
              <w:t>-2.28</w:t>
            </w:r>
          </w:p>
        </w:tc>
        <w:tc>
          <w:tcPr>
            <w:tcW w:type="dxa" w:w="1663"/>
          </w:tcPr>
          <w:p>
            <w:pPr>
              <w:spacing w:before="0" w:after="0" w:line="264" w:lineRule="auto"/>
            </w:pPr>
            <w:r>
              <w:rPr>
                <w:rFonts w:ascii="Arial" w:hAnsi="Arial" w:cs="Arial" w:eastAsia="Arial"/>
                <w:color w:val="0E1E3A"/>
                <w:sz w:val="17"/>
                <w:szCs w:val="17"/>
              </w:rPr>
              <w:t>-0.92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0.10</w:t>
            </w:r>
          </w:p>
        </w:tc>
        <w:tc>
          <w:tcPr>
            <w:tcW w:type="dxa" w:w="1663"/>
          </w:tcPr>
          <w:p>
            <w:pPr>
              <w:spacing w:before="0" w:after="0" w:line="264" w:lineRule="auto"/>
            </w:pPr>
            <w:r>
              <w:rPr>
                <w:rFonts w:ascii="Arial" w:hAnsi="Arial" w:cs="Arial" w:eastAsia="Arial"/>
                <w:color w:val="0E1E3A"/>
                <w:sz w:val="17"/>
                <w:szCs w:val="17"/>
              </w:rPr>
              <w:t>0.13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-11.46</w:t>
            </w:r>
          </w:p>
        </w:tc>
        <w:tc>
          <w:tcPr>
            <w:tcW w:type="dxa" w:w="1663"/>
          </w:tcPr>
          <w:p>
            <w:pPr>
              <w:spacing w:before="0" w:after="0" w:line="264" w:lineRule="auto"/>
            </w:pPr>
            <w:r>
              <w:rPr>
                <w:rFonts w:ascii="Arial" w:hAnsi="Arial" w:cs="Arial" w:eastAsia="Arial"/>
                <w:color w:val="0E1E3A"/>
                <w:sz w:val="17"/>
                <w:szCs w:val="17"/>
              </w:rPr>
              <w:t>-11.46</w:t>
            </w:r>
          </w:p>
        </w:tc>
        <w:tc>
          <w:tcPr>
            <w:tcW w:type="dxa" w:w="1663"/>
          </w:tcPr>
          <w:p>
            <w:pPr>
              <w:spacing w:before="0" w:after="0" w:line="264" w:lineRule="auto"/>
            </w:pPr>
            <w:r>
              <w:rPr>
                <w:rFonts w:ascii="Arial" w:hAnsi="Arial" w:cs="Arial" w:eastAsia="Arial"/>
                <w:color w:val="0E1E3A"/>
                <w:sz w:val="17"/>
                <w:szCs w:val="17"/>
              </w:rPr>
              <w:t>-2.53</w:t>
            </w:r>
          </w:p>
        </w:tc>
        <w:tc>
          <w:tcPr>
            <w:tcW w:type="dxa" w:w="1663"/>
          </w:tcPr>
          <w:p>
            <w:pPr>
              <w:spacing w:before="0" w:after="0" w:line="264" w:lineRule="auto"/>
            </w:pPr>
            <w:r>
              <w:rPr>
                <w:rFonts w:ascii="Arial" w:hAnsi="Arial" w:cs="Arial" w:eastAsia="Arial"/>
                <w:color w:val="0E1E3A"/>
                <w:sz w:val="17"/>
                <w:szCs w:val="17"/>
              </w:rPr>
              <w:t>0.92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0.57</w:t>
            </w:r>
          </w:p>
        </w:tc>
        <w:tc>
          <w:tcPr>
            <w:tcW w:type="dxa" w:w="1663"/>
          </w:tcPr>
          <w:p>
            <w:pPr>
              <w:spacing w:before="0" w:after="0" w:line="264" w:lineRule="auto"/>
            </w:pPr>
            <w:r>
              <w:rPr>
                <w:rFonts w:ascii="Arial" w:hAnsi="Arial" w:cs="Arial" w:eastAsia="Arial"/>
                <w:color w:val="0E1E3A"/>
                <w:sz w:val="17"/>
                <w:szCs w:val="17"/>
              </w:rPr>
              <w:t>0.57</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-2.45</w:t>
            </w:r>
          </w:p>
        </w:tc>
        <w:tc>
          <w:tcPr>
            <w:tcW w:type="dxa" w:w="1663"/>
          </w:tcPr>
          <w:p>
            <w:pPr>
              <w:spacing w:before="0" w:after="0" w:line="264" w:lineRule="auto"/>
            </w:pPr>
            <w:r>
              <w:rPr>
                <w:rFonts w:ascii="Arial" w:hAnsi="Arial" w:cs="Arial" w:eastAsia="Arial"/>
                <w:color w:val="0E1E3A"/>
                <w:sz w:val="17"/>
                <w:szCs w:val="17"/>
              </w:rPr>
              <w:t>-2.45</w:t>
            </w:r>
          </w:p>
        </w:tc>
        <w:tc>
          <w:tcPr>
            <w:tcW w:type="dxa" w:w="1663"/>
          </w:tcPr>
          <w:p>
            <w:pPr>
              <w:spacing w:before="0" w:after="0" w:line="264" w:lineRule="auto"/>
            </w:pPr>
            <w:r>
              <w:rPr>
                <w:rFonts w:ascii="Arial" w:hAnsi="Arial" w:cs="Arial" w:eastAsia="Arial"/>
                <w:color w:val="0E1E3A"/>
                <w:sz w:val="17"/>
                <w:szCs w:val="17"/>
              </w:rPr>
              <w:t>-2.43</w:t>
            </w:r>
          </w:p>
        </w:tc>
        <w:tc>
          <w:tcPr>
            <w:tcW w:type="dxa" w:w="1663"/>
          </w:tcPr>
          <w:p>
            <w:pPr>
              <w:spacing w:before="0" w:after="0" w:line="264" w:lineRule="auto"/>
            </w:pPr>
            <w:r>
              <w:rPr>
                <w:rFonts w:ascii="Arial" w:hAnsi="Arial" w:cs="Arial" w:eastAsia="Arial"/>
                <w:color w:val="0E1E3A"/>
                <w:sz w:val="17"/>
                <w:szCs w:val="17"/>
              </w:rPr>
              <w:t>-1.12</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2026 to 31 March 2026.</w:t>
      </w:r>
      <w:r>
        <w:br/>
      </w:r>
      <w:r>
        <w:rPr>
          <w:rFonts w:ascii="Arial" w:hAnsi="Arial" w:cs="Arial" w:eastAsia="Arial"/>
          <w:color w:val="5A6478"/>
          <w:sz w:val="17"/>
          <w:szCs w:val="17"/>
        </w:rPr>
        <w:t>** For the period from 31 March 2025 to 31 March 2026.</w:t>
      </w:r>
      <w:r>
        <w:br/>
      </w:r>
      <w:r>
        <w:rPr>
          <w:rFonts w:ascii="Arial" w:hAnsi="Arial" w:cs="Arial" w:eastAsia="Arial"/>
          <w:color w:val="5A6478"/>
          <w:sz w:val="17"/>
          <w:szCs w:val="17"/>
        </w:rPr>
        <w:t>*** For the period from 31 March 2023 to 31 March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2" name="Picture 9051"/>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As at 31 March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Q1 2026</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