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0"/>
            <wp:cNvGraphicFramePr/>
            <a:graphic>
              <a:graphicData uri="http://schemas.openxmlformats.org/drawingml/2006/picture">
                <pic:pic>
                  <pic:nvPicPr>
                    <pic:cNvPr id="9020" name="banner9020.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٤٧٠٠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١٩ يناير ٢٠٢١م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٩٩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١٠.١٤٢٣</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٥١٩,٧١٥,٤٥٧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٤٧٢,٨١٤,٧٠٠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٣٧,٤٥٨,٠٣٧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‎٧.٢١%‎</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‎٧.٨١%‎</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ونسبة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‎٠.١٨%‎</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٣٠ يونيو ٢٠٢١م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978811"/>
            <wp:docPr id="5" name="Picture 9024"/>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٥١٩,٧١٥,٤٥٧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٤٧٩,٥٤٥,٠٨٥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ونسبة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‎٠.٠٠%‎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‎٠.٢٦%‎</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‎٠.٢٩%‎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‎٠.٣٢%‎</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 الأتعاب الإجمالية للربع المعني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‎٠.٢٩%‎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٣٠ يونيو ٢٠٢١م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27"/>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١٢٧,٩٩٣,١٢٢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١٨٧,٣١٦,٢٣٣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٨٣,٧٥١,٧٩٨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٧٣,٥٦٣,١٠٦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٤٧,٠٩١,١٩٨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1" name="Picture 9030"/>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٤٧٢,٨١٤,٧٠٠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٣١ مارس ٢٠٢١م</w:t>
            </w:r>
          </w:p>
        </w:tc>
        <w:tc>
          <w:tcPr>
            <w:tcW w:type="dxa" w:w="6860"/>
          </w:tcPr>
          <w:p>
            <w:pPr>
              <w:bidi w:val="1"/>
              <w:spacing w:before="0" w:after="0" w:line="276" w:lineRule="auto"/>
            </w:pPr>
            <w:r>
              <w:rPr>
                <w:rFonts w:ascii="Arial" w:hAnsi="Arial" w:cs="Arial" w:eastAsia="Arial"/>
                <w:b/>
                <w:bCs/>
                <w:color w:val="0E1E3A"/>
                <w:sz w:val="18"/>
                <w:szCs w:val="18"/>
                <w:rtl/>
              </w:rPr>
              <w:t>٤٢٨,٣٧٠,١١٨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٣٠ يونيو ٢٠٢١م</w:t>
            </w:r>
          </w:p>
        </w:tc>
        <w:tc>
          <w:tcPr>
            <w:tcW w:type="dxa" w:w="6860"/>
          </w:tcPr>
          <w:p>
            <w:pPr>
              <w:bidi w:val="1"/>
              <w:spacing w:before="0" w:after="0" w:line="276" w:lineRule="auto"/>
            </w:pPr>
            <w:r>
              <w:rPr>
                <w:rFonts w:ascii="Arial" w:hAnsi="Arial" w:cs="Arial" w:eastAsia="Arial"/>
                <w:b/>
                <w:bCs/>
                <w:color w:val="0E1E3A"/>
                <w:sz w:val="18"/>
                <w:szCs w:val="18"/>
                <w:rtl/>
              </w:rPr>
              <w:t>٤٣٣,٠٩٨,٢٦٥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الثاني (٣٠ يونيو ٢٠٢١م)</w:t>
            </w:r>
          </w:p>
        </w:tc>
        <w:tc>
          <w:tcPr>
            <w:tcW w:type="dxa" w:w="6860"/>
          </w:tcPr>
          <w:p>
            <w:pPr>
              <w:bidi w:val="1"/>
              <w:spacing w:before="0" w:after="0" w:line="276" w:lineRule="auto"/>
            </w:pPr>
            <w:r>
              <w:rPr>
                <w:rFonts w:ascii="Arial" w:hAnsi="Arial" w:cs="Arial" w:eastAsia="Arial"/>
                <w:b/>
                <w:bCs/>
                <w:color w:val="0E1E3A"/>
                <w:sz w:val="18"/>
                <w:szCs w:val="18"/>
                <w:rtl/>
              </w:rPr>
              <w:t>٩.١٦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٢٠٢١م)</w:t>
            </w:r>
          </w:p>
        </w:tc>
        <w:tc>
          <w:tcPr>
            <w:tcW w:type="dxa" w:w="6860"/>
          </w:tcPr>
          <w:p>
            <w:pPr>
              <w:bidi w:val="1"/>
              <w:spacing w:before="0" w:after="0" w:line="276" w:lineRule="auto"/>
            </w:pPr>
            <w:r>
              <w:rPr>
                <w:rFonts w:ascii="Arial" w:hAnsi="Arial" w:cs="Arial" w:eastAsia="Arial"/>
                <w:b/>
                <w:bCs/>
                <w:color w:val="0E1E3A"/>
                <w:sz w:val="18"/>
                <w:szCs w:val="18"/>
              </w:rPr>
              <w:t>‎-٨.٤٠%‎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٥٢ أسبوعًا</w:t>
            </w:r>
          </w:p>
        </w:tc>
        <w:tc>
          <w:tcPr>
            <w:tcW w:type="dxa" w:w="6860"/>
          </w:tcPr>
          <w:p>
            <w:pPr>
              <w:bidi w:val="1"/>
              <w:spacing w:before="0" w:after="0" w:line="276" w:lineRule="auto"/>
            </w:pPr>
            <w:r>
              <w:rPr>
                <w:rFonts w:ascii="Arial" w:hAnsi="Arial" w:cs="Arial" w:eastAsia="Arial"/>
                <w:b/>
                <w:bCs/>
                <w:color w:val="0E1E3A"/>
                <w:sz w:val="18"/>
                <w:szCs w:val="18"/>
                <w:rtl/>
              </w:rPr>
              <w:t>١٢.٠٠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٥٢ أسبوعًا</w:t>
            </w:r>
          </w:p>
        </w:tc>
        <w:tc>
          <w:tcPr>
            <w:tcW w:type="dxa" w:w="6860"/>
          </w:tcPr>
          <w:p>
            <w:pPr>
              <w:bidi w:val="1"/>
              <w:spacing w:before="0" w:after="0" w:line="276" w:lineRule="auto"/>
            </w:pPr>
            <w:r>
              <w:rPr>
                <w:rFonts w:ascii="Arial" w:hAnsi="Arial" w:cs="Arial" w:eastAsia="Arial"/>
                <w:b/>
                <w:bCs/>
                <w:color w:val="0E1E3A"/>
                <w:sz w:val="18"/>
                <w:szCs w:val="18"/>
                <w:rtl/>
              </w:rPr>
              <w:t>٨.٩٨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٤٧,٢٨١,٤٧٠ وحدة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3"/>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عن الربع</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‎١٠٠%‎</w:t>
            </w:r>
            <w:r>
              <w:rPr>
                <w:rFonts w:ascii="Arial" w:hAnsi="Arial" w:cs="Arial" w:eastAsia="Arial"/>
                <w:b/>
                <w:bCs/>
                <w:color w:val="0E1E3A"/>
                <w:sz w:val="18"/>
                <w:szCs w:val="18"/>
                <w:rtl/>
              </w:rPr>
              <w:t xml:space="preserve"> من الأرباح النصف سنوية المستلمة من عوائد استثمارات الصندوق بعد خصم المصروفات من مالكي الوحدات مرتين في السنة، على أن يكون أول توزيع خلال ٤٠ يوم من يونيو ٢٠٢١م.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للفترة (٣٠ يونيو ٢٠٢١م)</w:t>
            </w:r>
          </w:p>
        </w:tc>
        <w:tc>
          <w:tcPr>
            <w:tcW w:type="dxa" w:w="6860"/>
          </w:tcPr>
          <w:p>
            <w:pPr>
              <w:bidi w:val="1"/>
              <w:spacing w:before="0" w:after="0" w:line="276" w:lineRule="auto"/>
            </w:pPr>
            <w:r>
              <w:rPr>
                <w:rFonts w:ascii="Arial" w:hAnsi="Arial" w:cs="Arial" w:eastAsia="Arial"/>
                <w:b/>
                <w:bCs/>
                <w:color w:val="0E1E3A"/>
                <w:sz w:val="18"/>
                <w:szCs w:val="18"/>
                <w:rtl/>
              </w:rPr>
              <w:t>٨,٧٤٣,٩٢٠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الدخل للفترة على سعر الوحدة (٣٠ يونيو ٢٠٢١م)</w:t>
            </w:r>
          </w:p>
        </w:tc>
        <w:tc>
          <w:tcPr>
            <w:tcW w:type="dxa" w:w="6860"/>
          </w:tcPr>
          <w:p>
            <w:pPr>
              <w:bidi w:val="1"/>
              <w:spacing w:before="0" w:after="0" w:line="276" w:lineRule="auto"/>
            </w:pPr>
            <w:r>
              <w:rPr>
                <w:rFonts w:ascii="Arial" w:hAnsi="Arial" w:cs="Arial" w:eastAsia="Arial"/>
                <w:b/>
                <w:bCs/>
                <w:color w:val="0E1E3A"/>
                <w:sz w:val="18"/>
                <w:szCs w:val="18"/>
              </w:rPr>
              <w:t>‎٢.٠٢%‎</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المعني (أي ربح مدفوع لاحق لآخر تقرير تم الإفصاح عنه)</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لكل وحدة</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(الليبور- LIBOR) لمدة ١٢ شهر زائد ٣٠٠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١٠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‎١.١٠%‎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‎-٨.٤٠%‎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‎-٨.٤٠%‎</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نهاية الربع الأول إلى نهاية الربع الثاني من العام ٢٠٢١م.</w:t>
      </w:r>
      <w:r>
        <w:br/>
      </w:r>
      <w:r>
        <w:rPr>
          <w:rFonts w:ascii="Arial" w:hAnsi="Arial" w:cs="Arial" w:eastAsia="Arial"/>
          <w:color w:val="5A6478"/>
          <w:sz w:val="17"/>
          <w:szCs w:val="17"/>
          <w:rtl/>
        </w:rPr>
        <w:t>** من تاريخ بدء الصندوق إلى نهاية الربع الثاني من العام ٢٠٢١م.</w:t>
      </w:r>
      <w:r>
        <w:br/>
      </w:r>
      <w:r>
        <w:rPr>
          <w:rFonts w:ascii="Arial" w:hAnsi="Arial" w:cs="Arial" w:eastAsia="Arial"/>
          <w:color w:val="5A6478"/>
          <w:sz w:val="17"/>
          <w:szCs w:val="17"/>
          <w:rtl/>
        </w:rPr>
        <w:t>*** العائد الكلي = أداء سعر الوحدة + إجمالي الأرباح الموزعة (إن وجدت).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35"/>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(الليبور- LIBOR) لمدة ١٢ شهر زائد ٣٠٠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٩.٩٧</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١٠.١٤</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‎١.٧٠%‎</w:t>
            </w:r>
          </w:p>
        </w:tc>
        <w:tc>
          <w:tcPr>
            <w:tcW w:type="dxa" w:w="3326"/>
          </w:tcPr>
          <w:p>
            <w:pPr>
              <w:bidi w:val="1"/>
              <w:spacing w:before="0" w:after="0" w:line="264" w:lineRule="auto"/>
            </w:pPr>
            <w:r>
              <w:rPr>
                <w:rFonts w:ascii="Arial" w:hAnsi="Arial" w:cs="Arial" w:eastAsia="Arial"/>
                <w:color w:val="0E1E3A"/>
                <w:sz w:val="17"/>
                <w:szCs w:val="17"/>
              </w:rPr>
              <w:t>‎٠.٨٠%‎</w:t>
            </w:r>
            <w:r>
              <w:rPr>
                <w:rFonts w:ascii="Arial" w:hAnsi="Arial" w:cs="Arial" w:eastAsia="Arial"/>
                <w:color w:val="0E1E3A"/>
                <w:sz w:val="17"/>
                <w:szCs w:val="17"/>
                <w:rtl/>
              </w:rPr>
              <w:t xml:space="preserve"> ***</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١ أبريل ٢٠٢١م</w:t>
      </w:r>
      <w:r>
        <w:br/>
      </w:r>
      <w:r>
        <w:rPr>
          <w:rFonts w:ascii="Arial" w:hAnsi="Arial" w:cs="Arial" w:eastAsia="Arial"/>
          <w:color w:val="5A6478"/>
          <w:sz w:val="17"/>
          <w:szCs w:val="17"/>
          <w:rtl/>
        </w:rPr>
        <w:t>** كما في تاريخ ٣٠ يونيو ٢٠٢١م</w:t>
      </w:r>
      <w:r>
        <w:br/>
      </w:r>
      <w:r>
        <w:rPr>
          <w:rFonts w:ascii="Arial" w:hAnsi="Arial" w:cs="Arial" w:eastAsia="Arial"/>
          <w:color w:val="5A6478"/>
          <w:sz w:val="17"/>
          <w:szCs w:val="17"/>
          <w:rtl/>
        </w:rPr>
        <w:t xml:space="preserve">*** عائد المؤشر الاسترشادي </w:t>
      </w:r>
      <w:r>
        <w:rPr>
          <w:rFonts w:ascii="Arial" w:hAnsi="Arial" w:cs="Arial" w:eastAsia="Arial"/>
          <w:color w:val="5A6478"/>
          <w:sz w:val="17"/>
          <w:szCs w:val="17"/>
        </w:rPr>
        <w:t>‎٣.٢٥%‎</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‎١٠٠%‎</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‎٠%‎</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3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٣ أشهر*</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سنة منذ بدء الصندوق حتى تاريخ ٣٠ يونيو ٢٠٢١م**</w:t>
            </w:r>
          </w:p>
        </w:tc>
      </w:tr>
      <w:tr>
        <w:tc>
          <w:tcPr>
            <w:tcW w:type="dxa" w:w="3326"/>
          </w:tcPr>
          <w:p>
            <w:pPr>
              <w:bidi w:val="1"/>
              <w:spacing w:before="0" w:after="0" w:line="264" w:lineRule="auto"/>
            </w:pPr>
            <w:r>
              <w:rPr>
                <w:rFonts w:ascii="Arial" w:hAnsi="Arial" w:cs="Arial" w:eastAsia="Arial"/>
                <w:color w:val="0E1E3A"/>
                <w:sz w:val="17"/>
                <w:szCs w:val="17"/>
                <w:rtl/>
              </w:rPr>
              <w:t>أداء صافي قيمة الصندوق*</w:t>
            </w:r>
          </w:p>
        </w:tc>
        <w:tc>
          <w:tcPr>
            <w:tcW w:type="dxa" w:w="3326"/>
          </w:tcPr>
          <w:p>
            <w:pPr>
              <w:bidi w:val="1"/>
              <w:spacing w:before="0" w:after="0" w:line="264" w:lineRule="auto"/>
            </w:pPr>
            <w:r>
              <w:rPr>
                <w:rFonts w:ascii="Arial" w:hAnsi="Arial" w:cs="Arial" w:eastAsia="Arial"/>
                <w:color w:val="0E1E3A"/>
                <w:sz w:val="17"/>
                <w:szCs w:val="17"/>
              </w:rPr>
              <w:t>‎١.٧٠%‎</w:t>
            </w:r>
          </w:p>
        </w:tc>
        <w:tc>
          <w:tcPr>
            <w:tcW w:type="dxa" w:w="3326"/>
          </w:tcPr>
          <w:p>
            <w:pPr>
              <w:bidi w:val="1"/>
              <w:spacing w:before="0" w:after="0" w:line="264" w:lineRule="auto"/>
            </w:pPr>
            <w:r>
              <w:rPr>
                <w:rFonts w:ascii="Arial" w:hAnsi="Arial" w:cs="Arial" w:eastAsia="Arial"/>
                <w:color w:val="0E1E3A"/>
                <w:sz w:val="17"/>
                <w:szCs w:val="17"/>
              </w:rPr>
              <w:t>‎١.٤٢%‎</w:t>
            </w:r>
          </w:p>
        </w:tc>
      </w:tr>
      <w:tr>
        <w:tc>
          <w:tcPr>
            <w:tcW w:type="dxa" w:w="3326"/>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3326"/>
          </w:tcPr>
          <w:p>
            <w:pPr>
              <w:bidi w:val="1"/>
              <w:spacing w:before="0" w:after="0" w:line="264" w:lineRule="auto"/>
            </w:pPr>
            <w:r>
              <w:rPr>
                <w:rFonts w:ascii="Arial" w:hAnsi="Arial" w:cs="Arial" w:eastAsia="Arial"/>
                <w:color w:val="0E1E3A"/>
                <w:sz w:val="17"/>
                <w:szCs w:val="17"/>
              </w:rPr>
              <w:t>‎٠.٨٠%‎</w:t>
            </w:r>
          </w:p>
        </w:tc>
        <w:tc>
          <w:tcPr>
            <w:tcW w:type="dxa" w:w="3326"/>
          </w:tcPr>
          <w:p>
            <w:pPr>
              <w:bidi w:val="1"/>
              <w:spacing w:before="0" w:after="0" w:line="264" w:lineRule="auto"/>
            </w:pPr>
            <w:r>
              <w:rPr>
                <w:rFonts w:ascii="Arial" w:hAnsi="Arial" w:cs="Arial" w:eastAsia="Arial"/>
                <w:color w:val="0E1E3A"/>
                <w:sz w:val="17"/>
                <w:szCs w:val="17"/>
              </w:rPr>
              <w:t>‎١.٤٥%‎</w:t>
            </w:r>
          </w:p>
        </w:tc>
      </w:tr>
      <w:tr>
        <w:tc>
          <w:tcPr>
            <w:tcW w:type="dxa" w:w="3326"/>
          </w:tcPr>
          <w:p>
            <w:pPr>
              <w:bidi w:val="1"/>
              <w:spacing w:before="0" w:after="0" w:line="264" w:lineRule="auto"/>
            </w:pPr>
            <w:r>
              <w:rPr>
                <w:rFonts w:ascii="Arial" w:hAnsi="Arial" w:cs="Arial" w:eastAsia="Arial"/>
                <w:color w:val="0E1E3A"/>
                <w:sz w:val="17"/>
                <w:szCs w:val="17"/>
                <w:rtl/>
              </w:rPr>
              <w:t>فارق الأداء</w:t>
            </w:r>
          </w:p>
        </w:tc>
        <w:tc>
          <w:tcPr>
            <w:tcW w:type="dxa" w:w="3326"/>
          </w:tcPr>
          <w:p>
            <w:pPr>
              <w:bidi w:val="1"/>
              <w:spacing w:before="0" w:after="0" w:line="264" w:lineRule="auto"/>
            </w:pPr>
            <w:r>
              <w:rPr>
                <w:rFonts w:ascii="Arial" w:hAnsi="Arial" w:cs="Arial" w:eastAsia="Arial"/>
                <w:color w:val="0E1E3A"/>
                <w:sz w:val="17"/>
                <w:szCs w:val="17"/>
              </w:rPr>
              <w:t>‎٠.٩٠%‎</w:t>
            </w:r>
          </w:p>
        </w:tc>
        <w:tc>
          <w:tcPr>
            <w:tcW w:type="dxa" w:w="3326"/>
          </w:tcPr>
          <w:p>
            <w:pPr>
              <w:bidi w:val="1"/>
              <w:spacing w:before="0" w:after="0" w:line="264" w:lineRule="auto"/>
            </w:pPr>
            <w:r>
              <w:rPr>
                <w:rFonts w:ascii="Arial" w:hAnsi="Arial" w:cs="Arial" w:eastAsia="Arial"/>
                <w:color w:val="0E1E3A"/>
                <w:sz w:val="17"/>
                <w:szCs w:val="17"/>
              </w:rPr>
              <w:t>‎-٠.٠٣%‎</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١ أبريل ٢٠٢١ إلى ٣٠ يونيو ٢٠٢١م</w:t>
      </w:r>
      <w:r>
        <w:br/>
      </w:r>
      <w:r>
        <w:rPr>
          <w:rFonts w:ascii="Arial" w:hAnsi="Arial" w:cs="Arial" w:eastAsia="Arial"/>
          <w:color w:val="5A6478"/>
          <w:sz w:val="17"/>
          <w:szCs w:val="17"/>
          <w:rtl/>
        </w:rPr>
        <w:t>** عن الفترة من ١٩ يناير ٢٠٢١ إلى ٣٠ يونيو ٢٠٢١م.</w:t>
      </w:r>
      <w:r>
        <w:br/>
      </w:r>
      <w:r>
        <w:rPr>
          <w:rFonts w:ascii="Arial" w:hAnsi="Arial" w:cs="Arial" w:eastAsia="Arial"/>
          <w:color w:val="5A6478"/>
          <w:sz w:val="17"/>
          <w:szCs w:val="17"/>
          <w:rtl/>
        </w:rPr>
        <w:t>*** يجب الإحاطة بأن سعر الوحدة في السوق المالية تخضع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38"/>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سنة حتى تاريخ ٣٠ يونيو ٢٠٢١م</w:t>
            </w:r>
          </w:p>
        </w:tc>
      </w:tr>
      <w:tr>
        <w:tc>
          <w:tcPr>
            <w:tcW w:type="dxa" w:w="4989"/>
          </w:tcPr>
          <w:p>
            <w:pPr>
              <w:bidi w:val="1"/>
              <w:spacing w:before="0" w:after="0" w:line="264" w:lineRule="auto"/>
            </w:pPr>
            <w:r>
              <w:rPr>
                <w:rFonts w:ascii="Arial" w:hAnsi="Arial" w:cs="Arial" w:eastAsia="Arial"/>
                <w:color w:val="0E1E3A"/>
                <w:sz w:val="17"/>
                <w:szCs w:val="17"/>
                <w:rtl/>
              </w:rPr>
              <w:t>الانحراف المعياري</w:t>
            </w:r>
          </w:p>
        </w:tc>
        <w:tc>
          <w:tcPr>
            <w:tcW w:type="dxa" w:w="4989"/>
          </w:tcPr>
          <w:p>
            <w:pPr>
              <w:bidi w:val="1"/>
              <w:spacing w:before="0" w:after="0" w:line="264" w:lineRule="auto"/>
            </w:pPr>
            <w:r>
              <w:rPr>
                <w:rFonts w:ascii="Arial" w:hAnsi="Arial" w:cs="Arial" w:eastAsia="Arial"/>
                <w:color w:val="0E1E3A"/>
                <w:sz w:val="17"/>
                <w:szCs w:val="17"/>
                <w:rtl/>
              </w:rPr>
              <w:t>٢.٧٩</w:t>
            </w:r>
          </w:p>
        </w:tc>
      </w:tr>
      <w:tr>
        <w:tc>
          <w:tcPr>
            <w:tcW w:type="dxa" w:w="4989"/>
          </w:tcPr>
          <w:p>
            <w:pPr>
              <w:bidi w:val="1"/>
              <w:spacing w:before="0" w:after="0" w:line="264" w:lineRule="auto"/>
            </w:pPr>
            <w:r>
              <w:rPr>
                <w:rFonts w:ascii="Arial" w:hAnsi="Arial" w:cs="Arial" w:eastAsia="Arial"/>
                <w:color w:val="0E1E3A"/>
                <w:sz w:val="17"/>
                <w:szCs w:val="17"/>
                <w:rtl/>
              </w:rPr>
              <w:t>مؤشر شارب</w:t>
            </w:r>
          </w:p>
        </w:tc>
        <w:tc>
          <w:tcPr>
            <w:tcW w:type="dxa" w:w="4989"/>
          </w:tcPr>
          <w:p>
            <w:pPr>
              <w:bidi w:val="1"/>
              <w:spacing w:before="0" w:after="0" w:line="264" w:lineRule="auto"/>
            </w:pPr>
            <w:r>
              <w:rPr>
                <w:rFonts w:ascii="Arial" w:hAnsi="Arial" w:cs="Arial" w:eastAsia="Arial"/>
                <w:color w:val="0E1E3A"/>
                <w:sz w:val="17"/>
                <w:szCs w:val="17"/>
                <w:rtl/>
              </w:rPr>
              <w:t>٠.٧٥</w:t>
            </w:r>
          </w:p>
        </w:tc>
      </w:tr>
      <w:tr>
        <w:tc>
          <w:tcPr>
            <w:tcW w:type="dxa" w:w="4989"/>
          </w:tcPr>
          <w:p>
            <w:pPr>
              <w:bidi w:val="1"/>
              <w:spacing w:before="0" w:after="0" w:line="264" w:lineRule="auto"/>
            </w:pPr>
            <w:r>
              <w:rPr>
                <w:rFonts w:ascii="Arial" w:hAnsi="Arial" w:cs="Arial" w:eastAsia="Arial"/>
                <w:color w:val="0E1E3A"/>
                <w:sz w:val="17"/>
                <w:szCs w:val="17"/>
                <w:rtl/>
              </w:rPr>
              <w:t>خطأ التتبع</w:t>
            </w:r>
          </w:p>
        </w:tc>
        <w:tc>
          <w:tcPr>
            <w:tcW w:type="dxa" w:w="4989"/>
          </w:tcPr>
          <w:p>
            <w:pPr>
              <w:bidi w:val="1"/>
              <w:spacing w:before="0" w:after="0" w:line="264" w:lineRule="auto"/>
            </w:pPr>
            <w:r>
              <w:rPr>
                <w:rFonts w:ascii="Arial" w:hAnsi="Arial" w:cs="Arial" w:eastAsia="Arial"/>
                <w:color w:val="0E1E3A"/>
                <w:sz w:val="17"/>
                <w:szCs w:val="17"/>
                <w:rtl/>
              </w:rPr>
              <w:t>٢.٦١</w:t>
            </w:r>
          </w:p>
        </w:tc>
      </w:tr>
      <w:tr>
        <w:tc>
          <w:tcPr>
            <w:tcW w:type="dxa" w:w="4989"/>
          </w:tcPr>
          <w:p>
            <w:pPr>
              <w:bidi w:val="1"/>
              <w:spacing w:before="0" w:after="0" w:line="264" w:lineRule="auto"/>
            </w:pPr>
            <w:r>
              <w:rPr>
                <w:rFonts w:ascii="Arial" w:hAnsi="Arial" w:cs="Arial" w:eastAsia="Arial"/>
                <w:color w:val="0E1E3A"/>
                <w:sz w:val="17"/>
                <w:szCs w:val="17"/>
                <w:rtl/>
              </w:rPr>
              <w:t>بيتا</w:t>
            </w:r>
          </w:p>
        </w:tc>
        <w:tc>
          <w:tcPr>
            <w:tcW w:type="dxa" w:w="4989"/>
          </w:tcPr>
          <w:p>
            <w:pPr>
              <w:bidi w:val="1"/>
              <w:spacing w:before="0" w:after="0" w:line="264" w:lineRule="auto"/>
            </w:pPr>
            <w:r>
              <w:rPr>
                <w:rFonts w:ascii="Arial" w:hAnsi="Arial" w:cs="Arial" w:eastAsia="Arial"/>
                <w:color w:val="0E1E3A"/>
                <w:sz w:val="17"/>
                <w:szCs w:val="17"/>
                <w:rtl/>
              </w:rPr>
              <w:t>لا ينطبق</w:t>
            </w:r>
          </w:p>
        </w:tc>
      </w:tr>
      <w:tr>
        <w:tc>
          <w:tcPr>
            <w:tcW w:type="dxa" w:w="4989"/>
          </w:tcPr>
          <w:p>
            <w:pPr>
              <w:bidi w:val="1"/>
              <w:spacing w:before="0" w:after="0" w:line="264" w:lineRule="auto"/>
            </w:pPr>
            <w:r>
              <w:rPr>
                <w:rFonts w:ascii="Arial" w:hAnsi="Arial" w:cs="Arial" w:eastAsia="Arial"/>
                <w:color w:val="0E1E3A"/>
                <w:sz w:val="17"/>
                <w:szCs w:val="17"/>
                <w:rtl/>
              </w:rPr>
              <w:t>ألفا</w:t>
            </w:r>
          </w:p>
        </w:tc>
        <w:tc>
          <w:tcPr>
            <w:tcW w:type="dxa" w:w="4989"/>
          </w:tcPr>
          <w:p>
            <w:pPr>
              <w:bidi w:val="1"/>
              <w:spacing w:before="0" w:after="0" w:line="264" w:lineRule="auto"/>
            </w:pPr>
            <w:r>
              <w:rPr>
                <w:rFonts w:ascii="Arial" w:hAnsi="Arial" w:cs="Arial" w:eastAsia="Arial"/>
                <w:color w:val="0E1E3A"/>
                <w:sz w:val="17"/>
                <w:szCs w:val="17"/>
              </w:rPr>
              <w:t>‎-٠.٠٣%‎</w:t>
            </w:r>
          </w:p>
        </w:tc>
      </w:tr>
      <w:tr>
        <w:tc>
          <w:tcPr>
            <w:tcW w:type="dxa" w:w="4989"/>
          </w:tcPr>
          <w:p>
            <w:pPr>
              <w:bidi w:val="1"/>
              <w:spacing w:before="0" w:after="0" w:line="264" w:lineRule="auto"/>
            </w:pPr>
            <w:r>
              <w:rPr>
                <w:rFonts w:ascii="Arial" w:hAnsi="Arial" w:cs="Arial" w:eastAsia="Arial"/>
                <w:color w:val="0E1E3A"/>
                <w:sz w:val="17"/>
                <w:szCs w:val="17"/>
                <w:rtl/>
              </w:rPr>
              <w:t>مؤشر المعلومات</w:t>
            </w:r>
          </w:p>
        </w:tc>
        <w:tc>
          <w:tcPr>
            <w:tcW w:type="dxa" w:w="4989"/>
          </w:tcPr>
          <w:p>
            <w:pPr>
              <w:bidi w:val="1"/>
              <w:spacing w:before="0" w:after="0" w:line="264" w:lineRule="auto"/>
            </w:pPr>
            <w:r>
              <w:rPr>
                <w:rFonts w:ascii="Arial" w:hAnsi="Arial" w:cs="Arial" w:eastAsia="Arial"/>
                <w:color w:val="0E1E3A"/>
                <w:sz w:val="17"/>
                <w:szCs w:val="17"/>
              </w:rPr>
              <w:t>‎-٠.٠١%‎</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39"/>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جوهرية أو مهمة تؤثر على عمل الصندوق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‎٣٦.٨٠%‎</w:t>
      </w:r>
      <w:r>
        <w:rPr>
          <w:rFonts w:ascii="Arial" w:hAnsi="Arial" w:cs="Arial" w:eastAsia="Arial"/>
          <w:color w:val="0E1E3A"/>
          <w:sz w:val="20"/>
          <w:szCs w:val="20"/>
          <w:rtl/>
        </w:rPr>
        <w:t xml:space="preserve"> من أصول الصندوق في صفقات إجارة تشمل عدة أنواع من المعدات والشركات، غالبيتها في الولايات المتحدة الأمريكية. ومن المتوقع أن تحقق محفظة الإجارة معدل عائد إجمالي يقدر بنسبة </w:t>
      </w:r>
      <w:r>
        <w:rPr>
          <w:rFonts w:ascii="Arial" w:hAnsi="Arial" w:cs="Arial" w:eastAsia="Arial"/>
          <w:color w:val="0E1E3A"/>
          <w:sz w:val="20"/>
          <w:szCs w:val="20"/>
        </w:rPr>
        <w:t>‎٦.٥%‎</w:t>
      </w:r>
      <w:r>
        <w:rPr>
          <w:rFonts w:ascii="Arial" w:hAnsi="Arial" w:cs="Arial" w:eastAsia="Arial"/>
          <w:color w:val="0E1E3A"/>
          <w:sz w:val="20"/>
          <w:szCs w:val="20"/>
          <w:rtl/>
        </w:rPr>
        <w:t xml:space="preserve"> سنويا على مدى السنوات الخمس القادمة بإذن الله.</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‎٣١%‎</w:t>
      </w:r>
      <w:r>
        <w:rPr>
          <w:rFonts w:ascii="Arial" w:hAnsi="Arial" w:cs="Arial" w:eastAsia="Arial"/>
          <w:color w:val="0E1E3A"/>
          <w:sz w:val="20"/>
          <w:szCs w:val="20"/>
          <w:rtl/>
        </w:rPr>
        <w:t xml:space="preserve"> من أصول الصندوق في صفقات تمويل تجاري مع عدة أطراف مقابلة وفي عدة قطاعات، وكانت غالبيتها في القارة الأوروبية. وجميع الصفقات المبرمة قصيرة الأجل بطبيعتها، وتحقق عوائدا بإذن الله تتراوح ما بين </w:t>
      </w:r>
      <w:r>
        <w:rPr>
          <w:rFonts w:ascii="Arial" w:hAnsi="Arial" w:cs="Arial" w:eastAsia="Arial"/>
          <w:color w:val="0E1E3A"/>
          <w:sz w:val="20"/>
          <w:szCs w:val="20"/>
        </w:rPr>
        <w:t>‎٦.٥%‎</w:t>
      </w:r>
      <w:r>
        <w:rPr>
          <w:rFonts w:ascii="Arial" w:hAnsi="Arial" w:cs="Arial" w:eastAsia="Arial"/>
          <w:color w:val="0E1E3A"/>
          <w:sz w:val="20"/>
          <w:szCs w:val="20"/>
          <w:rtl/>
        </w:rPr>
        <w:t xml:space="preserve"> إلى </w:t>
      </w:r>
      <w:r>
        <w:rPr>
          <w:rFonts w:ascii="Arial" w:hAnsi="Arial" w:cs="Arial" w:eastAsia="Arial"/>
          <w:color w:val="0E1E3A"/>
          <w:sz w:val="20"/>
          <w:szCs w:val="20"/>
        </w:rPr>
        <w:t>‎٧.٠%‎</w:t>
      </w:r>
      <w:r>
        <w:rPr>
          <w:rFonts w:ascii="Arial" w:hAnsi="Arial" w:cs="Arial" w:eastAsia="Arial"/>
          <w:color w:val="0E1E3A"/>
          <w:sz w:val="20"/>
          <w:szCs w:val="20"/>
          <w:rtl/>
        </w:rPr>
        <w:t xml:space="preserve"> سنويا.</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‎١٦.٦%‎</w:t>
      </w:r>
      <w:r>
        <w:rPr>
          <w:rFonts w:ascii="Arial" w:hAnsi="Arial" w:cs="Arial" w:eastAsia="Arial"/>
          <w:color w:val="0E1E3A"/>
          <w:sz w:val="20"/>
          <w:szCs w:val="20"/>
          <w:rtl/>
        </w:rPr>
        <w:t xml:space="preserve"> من أصول الصندوق في صكوك ذات درجات تصنيف ائتمانية مختلفة، تشمل صكوكا سيادية وشبه سيادية وصكوك شركات. وقد حصل مدير الصندوق على تسهيلات ائتمانية تدعم زيادة عوائد المحفظة إلى أكثر من </w:t>
      </w:r>
      <w:r>
        <w:rPr>
          <w:rFonts w:ascii="Arial" w:hAnsi="Arial" w:cs="Arial" w:eastAsia="Arial"/>
          <w:color w:val="0E1E3A"/>
          <w:sz w:val="20"/>
          <w:szCs w:val="20"/>
        </w:rPr>
        <w:t>‎٥%‎</w:t>
      </w:r>
      <w:r>
        <w:rPr>
          <w:rFonts w:ascii="Arial" w:hAnsi="Arial" w:cs="Arial" w:eastAsia="Arial"/>
          <w:color w:val="0E1E3A"/>
          <w:sz w:val="20"/>
          <w:szCs w:val="20"/>
          <w:rtl/>
        </w:rPr>
        <w:t xml:space="preserve"> سنويا، مع المحافظة على وسط مرجح لتصنيف المحفظة بدرجة استثمارية.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لأغراض تنويع استثمارات الصندوق، استثمر مدير الصندوق </w:t>
      </w:r>
      <w:r>
        <w:rPr>
          <w:rFonts w:ascii="Arial" w:hAnsi="Arial" w:cs="Arial" w:eastAsia="Arial"/>
          <w:color w:val="0E1E3A"/>
          <w:sz w:val="20"/>
          <w:szCs w:val="20"/>
        </w:rPr>
        <w:t>‎١٤.٥%‎</w:t>
      </w:r>
      <w:r>
        <w:rPr>
          <w:rFonts w:ascii="Arial" w:hAnsi="Arial" w:cs="Arial" w:eastAsia="Arial"/>
          <w:color w:val="0E1E3A"/>
          <w:sz w:val="20"/>
          <w:szCs w:val="20"/>
          <w:rtl/>
        </w:rPr>
        <w:t xml:space="preserve"> من أصول الصندوق في صناديق دخل، تتراوح ما بين تمويل خاص وإجارة وتمويل تجاري وتسنيد. ويتوقع أن تحقق عائدا سنويا يتراوح في المتوسط بين </w:t>
      </w:r>
      <w:r>
        <w:rPr>
          <w:rFonts w:ascii="Arial" w:hAnsi="Arial" w:cs="Arial" w:eastAsia="Arial"/>
          <w:color w:val="0E1E3A"/>
          <w:sz w:val="20"/>
          <w:szCs w:val="20"/>
        </w:rPr>
        <w:t>‎٦.٥%‎</w:t>
      </w:r>
      <w:r>
        <w:rPr>
          <w:rFonts w:ascii="Arial" w:hAnsi="Arial" w:cs="Arial" w:eastAsia="Arial"/>
          <w:color w:val="0E1E3A"/>
          <w:sz w:val="20"/>
          <w:szCs w:val="20"/>
          <w:rtl/>
        </w:rPr>
        <w:t xml:space="preserve"> إلى </w:t>
      </w:r>
      <w:r>
        <w:rPr>
          <w:rFonts w:ascii="Arial" w:hAnsi="Arial" w:cs="Arial" w:eastAsia="Arial"/>
          <w:color w:val="0E1E3A"/>
          <w:sz w:val="20"/>
          <w:szCs w:val="20"/>
        </w:rPr>
        <w:t>‎٧.٠%‎</w:t>
      </w:r>
      <w:r>
        <w:rPr>
          <w:rFonts w:ascii="Arial" w:hAnsi="Arial" w:cs="Arial" w:eastAsia="Arial"/>
          <w:color w:val="0E1E3A"/>
          <w:sz w:val="20"/>
          <w:szCs w:val="20"/>
          <w:rtl/>
        </w:rPr>
        <w:t>.</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ينوي مدير الصندوق توزيع الأرباح المتحققة ضمن الإطار الزمني المستهدف المنصوص عليه في الشروط والأحكام.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يسعى الصندوق إلى الاستفادة من التمويل وفق الضوابط الشرعية بالإضافة إلى شروط وأحكام الصندوق، وذلك بهدف تعظيم أداء الصندوق وتحقيق العوائد المستهدفة. ويجري مدير الصندوق حاليا مباحثات مع بنوك للحصول على تمويل إضافي للصندوق لأغراض توظيفها في الأصول المستهدفة.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وفقًا لما ورد في تقرير المراجعة العالمي للإجارة، شهد الأداء العام لسوق التأجير وتمويل المعدات تفاوتًا كبيرًا بين القطاعات المختلفة، وهو لا يزال شديد الارتباط على أوضاع الأسواق المحلية ونسبة تلقي لقاح (كوفيد-١٩). وبينما تأثرت بعض شرائح القطاع بدرجة كبيرة من الناحية المالية، شهدت شرائح أخرى معدلات نمو ثابتة.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من جهة أخرى، شهدت السوق الأمريكية انتعاشا مستقرا في مجال الاستثمار في البرمجيات وأنشطة أعمال جديدة في مجال التأجير في العام ٢٠٢١م. ووفقا لما أوردته مؤسسة تأجير وتمويل المعدات، من المتوقع أن يصل معدل النمو السنوي للاستثمار في المعدات والبرمجيات إلى </w:t>
      </w:r>
      <w:r>
        <w:rPr>
          <w:rFonts w:ascii="Arial" w:hAnsi="Arial" w:cs="Arial" w:eastAsia="Arial"/>
          <w:color w:val="0E1E3A"/>
          <w:sz w:val="20"/>
          <w:szCs w:val="20"/>
        </w:rPr>
        <w:t>‎١١.٢%‎</w:t>
      </w:r>
      <w:r>
        <w:rPr>
          <w:rFonts w:ascii="Arial" w:hAnsi="Arial" w:cs="Arial" w:eastAsia="Arial"/>
          <w:color w:val="0E1E3A"/>
          <w:sz w:val="20"/>
          <w:szCs w:val="20"/>
          <w:rtl/>
        </w:rPr>
        <w:t xml:space="preserve"> في الولايات المتحدة في العام ٢٠٢١م ، مع تعديل الشركات لاستراتيجياتها للتكيف مع الوضع الطبيعي الجديد في مرحلة ما بعد الجائحة. والجدير بالذكر أن مؤشر الثقة الشهري لسوق التأجير في الولايات المتحدة قد وصل إلى أعلى مستوياته في أبريل ٢٠٢١م عند ٧٦.١ نقطة، مقارنة بـ ٢٢.٣ نقطة في أبريل ٢٠٢٠م.</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وفقًا لما صرحت به شركة كوأوليشن، ذراع الدراسات والأبحات بشركة ستاندرد آند بورز جلوبال، من المتوقع أن يرتفع حجم الاستثمارات العالمية في قطاع التمويل التجاري ليصل إلى ٥٢ مليار دولار أمريكي في العام ٢٠٢١م، وإلى حوالي ٥٤ مليار دولار أمريكي بحلول العام ٢٠٢٢م، ليتجاوز بذلك المستوى الذي كان عليه قبل انتشار جائحة (كوفيد-١٩)، فقد وصل إلى ٥٣ مليار دولار أمريكي في العام ٢٠١٩م.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يعتمد أكثر من </w:t>
      </w:r>
      <w:r>
        <w:rPr>
          <w:rFonts w:ascii="Arial" w:hAnsi="Arial" w:cs="Arial" w:eastAsia="Arial"/>
          <w:color w:val="0E1E3A"/>
          <w:sz w:val="20"/>
          <w:szCs w:val="20"/>
        </w:rPr>
        <w:t>‎٨٠%‎</w:t>
      </w:r>
      <w:r>
        <w:rPr>
          <w:rFonts w:ascii="Arial" w:hAnsi="Arial" w:cs="Arial" w:eastAsia="Arial"/>
          <w:color w:val="0E1E3A"/>
          <w:sz w:val="20"/>
          <w:szCs w:val="20"/>
          <w:rtl/>
        </w:rPr>
        <w:t xml:space="preserve"> إلى </w:t>
      </w:r>
      <w:r>
        <w:rPr>
          <w:rFonts w:ascii="Arial" w:hAnsi="Arial" w:cs="Arial" w:eastAsia="Arial"/>
          <w:color w:val="0E1E3A"/>
          <w:sz w:val="20"/>
          <w:szCs w:val="20"/>
        </w:rPr>
        <w:t>‎٩٠%‎</w:t>
      </w:r>
      <w:r>
        <w:rPr>
          <w:rFonts w:ascii="Arial" w:hAnsi="Arial" w:cs="Arial" w:eastAsia="Arial"/>
          <w:color w:val="0E1E3A"/>
          <w:sz w:val="20"/>
          <w:szCs w:val="20"/>
          <w:rtl/>
        </w:rPr>
        <w:t xml:space="preserve"> من التجارة العالمية على التمويل التجاري، لذا فإن الارتفاع بنسبة </w:t>
      </w:r>
      <w:r>
        <w:rPr>
          <w:rFonts w:ascii="Arial" w:hAnsi="Arial" w:cs="Arial" w:eastAsia="Arial"/>
          <w:color w:val="0E1E3A"/>
          <w:sz w:val="20"/>
          <w:szCs w:val="20"/>
        </w:rPr>
        <w:t>‎٧.٢%‎</w:t>
      </w:r>
      <w:r>
        <w:rPr>
          <w:rFonts w:ascii="Arial" w:hAnsi="Arial" w:cs="Arial" w:eastAsia="Arial"/>
          <w:color w:val="0E1E3A"/>
          <w:sz w:val="20"/>
          <w:szCs w:val="20"/>
          <w:rtl/>
        </w:rPr>
        <w:t xml:space="preserve"> في حجم التجارة العالمية في العام ٢٠٢١م حسبما أعلنته منظمة التجارة العالمية، يمكن أن يسهم إلى حد كبير في تحقيق زيادة في حجم صفقات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من المتوقع أيضا أن يؤدي تحسن هوامش أرباح صفقات التمويل التجاري بفعل انخفاض تكاليف التمويل الناتج عن انخفاض أسعار الفائدة، إلى تعزيز نمو إيرادات صفقات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بالإضافة إلى ذلك، فإن تطبيق معايير الإقراض الصارمة (معايير بازل ٣) قد أدى مؤخرًا إلى نشوء فرصة لصناديق الدين الخاص والمستثمرين للمشاركة في قطاع التمويل التجاري الذي كان في السابق مقتصرًا على البنوك التقليدية فقط.</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كذلك، فإن المنشآت الصغيرة ومتوسطة الحجم تمثل فرصة لا بأس بها لقطاع التمويل التجاري، إذ إن البنوك التقليدية تركز عموما على الصفقات الكبيرة.</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على الرغم من ارتفاع أسعار النفط، يمكن أن يؤدي تراجع الدعم الحكومي واستمرار الانتعاش الاقتصادي إلى انخفاض احتياجات التمويل السيادي، ومن المتوقع أن تسهم إصدارات الصكوك غير المتكررة في زيادة حجم الصكوك الصادرة في العام ٢٠٢١م.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وفقا لما أوردته ستاندرد آند بورز غلوبال ريتنغز، ارتفع حجم إصدارات الصكوك إلى ٩٠.٦ مليار دولار أمريكي في النصف الأول ٢٠٢١م، من ٨٦.٤ مليار دولار أمريكي في نفس الفترة من السنة السابقة. وقد أسهمت الزيادة في أعداد الطروحات من المملكة العربية السعودية وماليزيا وسلطنة عمان بشكل رئيسي في دعم إجمالي الزيادة في حجم إصدارات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من المتوقع أيضًا أن تسهم إصدارات البنوك والشركات في تحسين الأداء العام لسوق الصكوك في النصف الثاني من العام ٢٠٢١م. وبما إن أنشطة الشركات كانت قد تراجعت في العام ٢٠٢٠م بسبب تدابير الحد من انتشار جائحة (كوفيد-١٩)، فمن المتوقع أن يتم تنفيذ جزء من هذه الاستثمارات في العام ٢٠٢١م.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إن إعادة التمويل المتوقع للصكوك المستحقة بقيمة ٢٠ مليار دولار أمريكي في النصف الثاني من عام ٢٠٢١م ستقود المستوى العام للإصدارات في سوق الصكوك.</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w:t>
      </w:r>
    </w:p>
    <w:p>
      <w:pPr>
        <w:bidi w:val="1"/>
        <w:spacing w:before="0" w:after="80" w:line="240" w:lineRule="auto"/>
        <w:jc w:val="center"/>
      </w:pPr>
      <w:r>
        <w:drawing>
          <wp:inline xmlns:a="http://schemas.openxmlformats.org/drawingml/2006/main" xmlns:pic="http://schemas.openxmlformats.org/drawingml/2006/picture">
            <wp:extent cx="6336000" cy="2825514"/>
            <wp:docPr id="23" name="Picture 9042"/>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نهاية ٣٠ يونيو ٢٠٢١م.</w:t>
      </w:r>
      <w:r>
        <w:br/>
      </w:r>
      <w:r>
        <w:rPr>
          <w:rFonts w:ascii="Arial" w:hAnsi="Arial" w:cs="Arial" w:eastAsia="Arial"/>
          <w:color w:val="5A6478"/>
          <w:sz w:val="17"/>
          <w:szCs w:val="17"/>
          <w:rtl/>
        </w:rPr>
        <w:t>تم احتساب أداء الصندوق في الرسم البياني على تغيير سعر الوحدة في السوق نظرًا لأن فترات تقييم صافي قيمة الوحدة ربع سنوية.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١٢٨٢٨٩ جدة ٢١٣٦٢</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٤٠٣٠١٧٧٤٤٥</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‎٠٧٠٧٤-٣٧‎</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4"/>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الثاني 2021م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