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0"/>
            <wp:cNvGraphicFramePr/>
            <a:graphic>
              <a:graphicData uri="http://schemas.openxmlformats.org/drawingml/2006/picture">
                <pic:pic>
                  <pic:nvPicPr>
                    <pic:cNvPr id="9020" name="banner9020.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10.1423</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519,715,457</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37,458,037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7.21%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7.81%</w:t>
            </w:r>
          </w:p>
        </w:tc>
      </w:tr>
      <w:tr>
        <w:tc>
          <w:tcPr>
            <w:tcW w:type="dxa" w:w="3118"/>
            <w:shd w:val="clear" w:color="auto" w:fill="F3F6FB"/>
          </w:tcPr>
          <w:p>
            <w:pPr>
              <w:spacing w:before="0" w:after="0" w:line="276" w:lineRule="auto"/>
            </w:pPr>
            <w:r>
              <w:rPr>
                <w:rFonts w:ascii="Arial" w:hAnsi="Arial" w:cs="Arial" w:eastAsia="Arial"/>
                <w:color w:val="5A6478"/>
                <w:sz w:val="18"/>
                <w:szCs w:val="18"/>
              </w:rPr>
              <w:t>VALUE AND PERCENTAGE OF FUND MANAGER’S INVESTMNET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As at 30 June 2021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24"/>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519,715,457</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479,545,085</w:t>
            </w:r>
          </w:p>
        </w:tc>
      </w:tr>
      <w:tr>
        <w:tc>
          <w:tcPr>
            <w:tcW w:type="dxa" w:w="3118"/>
            <w:shd w:val="clear" w:color="auto" w:fill="F3F6FB"/>
          </w:tcPr>
          <w:p>
            <w:pPr>
              <w:spacing w:before="0" w:after="0" w:line="276" w:lineRule="auto"/>
            </w:pPr>
            <w:r>
              <w:rPr>
                <w:rFonts w:ascii="Arial" w:hAnsi="Arial" w:cs="Arial" w:eastAsia="Arial"/>
                <w:color w:val="5A6478"/>
                <w:sz w:val="18"/>
                <w:szCs w:val="18"/>
              </w:rPr>
              <w:t>AMOUNT AND 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0.26%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0.29%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0.29%</w:t>
            </w:r>
          </w:p>
        </w:tc>
      </w:tr>
    </w:tbl>
    <w:p>
      <w:pPr>
        <w:spacing w:before="0" w:after="40" w:line="300" w:lineRule="auto"/>
      </w:pPr>
    </w:p>
    <w:p>
      <w:pPr>
        <w:spacing w:before="0" w:after="80" w:line="312" w:lineRule="auto"/>
      </w:pPr>
      <w:r>
        <w:rPr>
          <w:rFonts w:ascii="Arial" w:hAnsi="Arial" w:cs="Arial" w:eastAsia="Arial"/>
          <w:color w:val="5A6478"/>
          <w:sz w:val="17"/>
          <w:szCs w:val="17"/>
        </w:rPr>
        <w:t>* As at 30 June 2021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27"/>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127,993,122</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187,316,233</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83,751,798</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73,563,106</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47,091,198</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29"/>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1" name="Picture 9030"/>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77730"/>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bl>
    <w:p>
      <w:pPr>
        <w:spacing w:before="0" w:after="40" w:line="300" w:lineRule="auto"/>
      </w:pP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Q2 (30 JUNE 2021)</w:t>
            </w:r>
          </w:p>
        </w:tc>
        <w:tc>
          <w:tcPr>
            <w:tcW w:type="dxa" w:w="6860"/>
          </w:tcPr>
          <w:p>
            <w:pPr>
              <w:spacing w:before="0" w:after="0" w:line="276" w:lineRule="auto"/>
            </w:pPr>
            <w:r>
              <w:rPr>
                <w:rFonts w:ascii="Arial" w:hAnsi="Arial" w:cs="Arial" w:eastAsia="Arial"/>
                <w:b/>
                <w:bCs/>
                <w:color w:val="0E1E3A"/>
                <w:sz w:val="18"/>
                <w:szCs w:val="18"/>
              </w:rPr>
              <w:t>SAR 9.16</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Q2 2021)</w:t>
            </w:r>
          </w:p>
        </w:tc>
        <w:tc>
          <w:tcPr>
            <w:tcW w:type="dxa" w:w="6860"/>
          </w:tcPr>
          <w:p>
            <w:pPr>
              <w:spacing w:before="0" w:after="0" w:line="276" w:lineRule="auto"/>
            </w:pPr>
            <w:r>
              <w:rPr>
                <w:rFonts w:ascii="Arial" w:hAnsi="Arial" w:cs="Arial" w:eastAsia="Arial"/>
                <w:b/>
                <w:bCs/>
                <w:color w:val="0E1E3A"/>
                <w:sz w:val="18"/>
                <w:szCs w:val="18"/>
              </w:rPr>
              <w:t>-8.40%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12.00</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8.98</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3"/>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FOR THE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semi-annually distribute to Unitholders 100% of the semi-annual dividends received from the proceeds of the Fund’s investments, following deduction of expenses, provided the first distribution is made within 40 days after the month of June 2021.</w:t>
            </w:r>
          </w:p>
        </w:tc>
      </w:tr>
      <w:tr>
        <w:tc>
          <w:tcPr>
            <w:tcW w:type="dxa" w:w="3118"/>
            <w:shd w:val="clear" w:color="auto" w:fill="F3F6FB"/>
          </w:tcPr>
          <w:p>
            <w:pPr>
              <w:spacing w:before="0" w:after="0" w:line="276" w:lineRule="auto"/>
            </w:pPr>
            <w:r>
              <w:rPr>
                <w:rFonts w:ascii="Arial" w:hAnsi="Arial" w:cs="Arial" w:eastAsia="Arial"/>
                <w:color w:val="5A6478"/>
                <w:sz w:val="18"/>
                <w:szCs w:val="18"/>
              </w:rPr>
              <w:t>GROSS INCOME FOR THE PERIOD (30 JUNE 2021)</w:t>
            </w:r>
          </w:p>
        </w:tc>
        <w:tc>
          <w:tcPr>
            <w:tcW w:type="dxa" w:w="6860"/>
          </w:tcPr>
          <w:p>
            <w:pPr>
              <w:spacing w:before="0" w:after="0" w:line="276" w:lineRule="auto"/>
            </w:pPr>
            <w:r>
              <w:rPr>
                <w:rFonts w:ascii="Arial" w:hAnsi="Arial" w:cs="Arial" w:eastAsia="Arial"/>
                <w:b/>
                <w:bCs/>
                <w:color w:val="0E1E3A"/>
                <w:sz w:val="18"/>
                <w:szCs w:val="18"/>
              </w:rPr>
              <w:t>SAR 8,743,920</w:t>
            </w:r>
          </w:p>
        </w:tc>
      </w:tr>
      <w:tr>
        <w:tc>
          <w:tcPr>
            <w:tcW w:type="dxa" w:w="3118"/>
            <w:shd w:val="clear" w:color="auto" w:fill="F3F6FB"/>
          </w:tcPr>
          <w:p>
            <w:pPr>
              <w:spacing w:before="0" w:after="0" w:line="276" w:lineRule="auto"/>
            </w:pPr>
            <w:r>
              <w:rPr>
                <w:rFonts w:ascii="Arial" w:hAnsi="Arial" w:cs="Arial" w:eastAsia="Arial"/>
                <w:color w:val="5A6478"/>
                <w:sz w:val="18"/>
                <w:szCs w:val="18"/>
              </w:rPr>
              <w:t>INCOME FOR THE PERIOD ON UNIT PRICE (30 JUNE 2021)</w:t>
            </w:r>
          </w:p>
        </w:tc>
        <w:tc>
          <w:tcPr>
            <w:tcW w:type="dxa" w:w="6860"/>
          </w:tcPr>
          <w:p>
            <w:pPr>
              <w:spacing w:before="0" w:after="0" w:line="276" w:lineRule="auto"/>
            </w:pPr>
            <w:r>
              <w:rPr>
                <w:rFonts w:ascii="Arial" w:hAnsi="Arial" w:cs="Arial" w:eastAsia="Arial"/>
                <w:b/>
                <w:bCs/>
                <w:color w:val="0E1E3A"/>
                <w:sz w:val="18"/>
                <w:szCs w:val="18"/>
              </w:rPr>
              <w:t>2.02%</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 (ANY DIVIDEND PAID SUBSEQUENT TO THE LATEST DISCLOSED REPORT)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PER UNIT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ELIGIBILITY TO CASH DIVIDENDS DISTRIBUTED DURING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4"/>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12M LIBOR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1.10%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-8.40%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-8.40%</w:t>
            </w:r>
          </w:p>
        </w:tc>
      </w:tr>
    </w:tbl>
    <w:p>
      <w:pPr>
        <w:spacing w:before="0" w:after="40" w:line="300" w:lineRule="auto"/>
      </w:pPr>
    </w:p>
    <w:p>
      <w:pPr>
        <w:spacing w:before="0" w:after="80" w:line="312" w:lineRule="auto"/>
      </w:pPr>
      <w:r>
        <w:rPr>
          <w:rFonts w:ascii="Arial" w:hAnsi="Arial" w:cs="Arial" w:eastAsia="Arial"/>
          <w:color w:val="5A6478"/>
          <w:sz w:val="17"/>
          <w:szCs w:val="17"/>
        </w:rPr>
        <w:t>* From end Q1 to end Q2 2021.</w:t>
      </w:r>
      <w:r>
        <w:br/>
      </w:r>
      <w:r>
        <w:rPr>
          <w:rFonts w:ascii="Arial" w:hAnsi="Arial" w:cs="Arial" w:eastAsia="Arial"/>
          <w:color w:val="5A6478"/>
          <w:sz w:val="17"/>
          <w:szCs w:val="17"/>
        </w:rPr>
        <w:t>** From the Fund’s Date of Inception to end Q2 2021.</w:t>
      </w:r>
      <w:r>
        <w:br/>
      </w:r>
      <w:r>
        <w:rPr>
          <w:rFonts w:ascii="Arial" w:hAnsi="Arial" w:cs="Arial" w:eastAsia="Arial"/>
          <w:color w:val="5A6478"/>
          <w:sz w:val="17"/>
          <w:szCs w:val="17"/>
        </w:rPr>
        <w:t>*** Total Return = Unit Price Performance + Total Dividend Distributions (if any).</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3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LIBOR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9.97</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10.14</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1.70%</w:t>
            </w:r>
          </w:p>
        </w:tc>
        <w:tc>
          <w:tcPr>
            <w:tcW w:type="dxa" w:w="3326"/>
          </w:tcPr>
          <w:p>
            <w:pPr>
              <w:spacing w:before="0" w:after="0" w:line="264" w:lineRule="auto"/>
            </w:pPr>
            <w:r>
              <w:rPr>
                <w:rFonts w:ascii="Arial" w:hAnsi="Arial" w:cs="Arial" w:eastAsia="Arial"/>
                <w:color w:val="0E1E3A"/>
                <w:sz w:val="17"/>
                <w:szCs w:val="17"/>
              </w:rPr>
              <w:t>0.80%***</w:t>
            </w:r>
          </w:p>
        </w:tc>
      </w:tr>
    </w:tbl>
    <w:p>
      <w:pPr>
        <w:spacing w:before="0" w:after="40" w:line="300" w:lineRule="auto"/>
      </w:pPr>
    </w:p>
    <w:p>
      <w:pPr>
        <w:spacing w:before="0" w:after="80" w:line="312" w:lineRule="auto"/>
      </w:pPr>
      <w:r>
        <w:rPr>
          <w:rFonts w:ascii="Arial" w:hAnsi="Arial" w:cs="Arial" w:eastAsia="Arial"/>
          <w:color w:val="5A6478"/>
          <w:sz w:val="17"/>
          <w:szCs w:val="17"/>
        </w:rPr>
        <w:t>* As at 1 April 2021.</w:t>
      </w:r>
      <w:r>
        <w:br/>
      </w:r>
      <w:r>
        <w:rPr>
          <w:rFonts w:ascii="Arial" w:hAnsi="Arial" w:cs="Arial" w:eastAsia="Arial"/>
          <w:color w:val="5A6478"/>
          <w:sz w:val="17"/>
          <w:szCs w:val="17"/>
        </w:rPr>
        <w:t>** As at 30 June 2021.</w:t>
      </w:r>
      <w:r>
        <w:br/>
      </w:r>
      <w:r>
        <w:rPr>
          <w:rFonts w:ascii="Arial" w:hAnsi="Arial" w:cs="Arial" w:eastAsia="Arial"/>
          <w:color w:val="5A6478"/>
          <w:sz w:val="17"/>
          <w:szCs w:val="17"/>
        </w:rPr>
        <w:t>** Benchmark return is 3.25%.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37"/>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3 MONTHS*</w:t>
            </w:r>
          </w:p>
        </w:tc>
        <w:tc>
          <w:tcPr>
            <w:tcW w:type="dxa" w:w="3326"/>
            <w:shd w:val="clear" w:color="auto" w:fill="12284B"/>
          </w:tcPr>
          <w:p>
            <w:pPr>
              <w:spacing w:before="0" w:after="0" w:line="264" w:lineRule="auto"/>
            </w:pPr>
            <w:r>
              <w:rPr>
                <w:rFonts w:ascii="Arial" w:hAnsi="Arial" w:cs="Arial" w:eastAsia="Arial"/>
                <w:b/>
                <w:bCs/>
                <w:color w:val="FFFFFF"/>
                <w:sz w:val="17"/>
                <w:szCs w:val="17"/>
              </w:rPr>
              <w:t>ONE YEAR FROM TH START OF THE FUND UP TO 30 JUNE 2021**</w:t>
            </w:r>
          </w:p>
        </w:tc>
      </w:tr>
      <w:tr>
        <w:tc>
          <w:tcPr>
            <w:tcW w:type="dxa" w:w="3326"/>
          </w:tcPr>
          <w:p>
            <w:pPr>
              <w:spacing w:before="0" w:after="0" w:line="264" w:lineRule="auto"/>
            </w:pPr>
            <w:r>
              <w:rPr>
                <w:rFonts w:ascii="Arial" w:hAnsi="Arial" w:cs="Arial" w:eastAsia="Arial"/>
                <w:color w:val="0E1E3A"/>
                <w:sz w:val="17"/>
                <w:szCs w:val="17"/>
              </w:rPr>
              <w:t>FUND’S NET ASSET VALUE PERFORMANCE*</w:t>
            </w:r>
          </w:p>
        </w:tc>
        <w:tc>
          <w:tcPr>
            <w:tcW w:type="dxa" w:w="3326"/>
          </w:tcPr>
          <w:p>
            <w:pPr>
              <w:spacing w:before="0" w:after="0" w:line="264" w:lineRule="auto"/>
            </w:pPr>
            <w:r>
              <w:rPr>
                <w:rFonts w:ascii="Arial" w:hAnsi="Arial" w:cs="Arial" w:eastAsia="Arial"/>
                <w:color w:val="0E1E3A"/>
                <w:sz w:val="17"/>
                <w:szCs w:val="17"/>
              </w:rPr>
              <w:t>1.70%</w:t>
            </w:r>
          </w:p>
        </w:tc>
        <w:tc>
          <w:tcPr>
            <w:tcW w:type="dxa" w:w="3326"/>
          </w:tcPr>
          <w:p>
            <w:pPr>
              <w:spacing w:before="0" w:after="0" w:line="264" w:lineRule="auto"/>
            </w:pPr>
            <w:r>
              <w:rPr>
                <w:rFonts w:ascii="Arial" w:hAnsi="Arial" w:cs="Arial" w:eastAsia="Arial"/>
                <w:color w:val="0E1E3A"/>
                <w:sz w:val="17"/>
                <w:szCs w:val="17"/>
              </w:rPr>
              <w:t>1.42%</w:t>
            </w:r>
          </w:p>
        </w:tc>
      </w:tr>
      <w:tr>
        <w:tc>
          <w:tcPr>
            <w:tcW w:type="dxa" w:w="3326"/>
          </w:tcPr>
          <w:p>
            <w:pPr>
              <w:spacing w:before="0" w:after="0" w:line="264" w:lineRule="auto"/>
            </w:pPr>
            <w:r>
              <w:rPr>
                <w:rFonts w:ascii="Arial" w:hAnsi="Arial" w:cs="Arial" w:eastAsia="Arial"/>
                <w:color w:val="0E1E3A"/>
                <w:sz w:val="17"/>
                <w:szCs w:val="17"/>
              </w:rPr>
              <w:t>BENCHMARK PERFORMANCE</w:t>
            </w:r>
          </w:p>
        </w:tc>
        <w:tc>
          <w:tcPr>
            <w:tcW w:type="dxa" w:w="3326"/>
          </w:tcPr>
          <w:p>
            <w:pPr>
              <w:spacing w:before="0" w:after="0" w:line="264" w:lineRule="auto"/>
            </w:pPr>
            <w:r>
              <w:rPr>
                <w:rFonts w:ascii="Arial" w:hAnsi="Arial" w:cs="Arial" w:eastAsia="Arial"/>
                <w:color w:val="0E1E3A"/>
                <w:sz w:val="17"/>
                <w:szCs w:val="17"/>
              </w:rPr>
              <w:t>0.80%</w:t>
            </w:r>
          </w:p>
        </w:tc>
        <w:tc>
          <w:tcPr>
            <w:tcW w:type="dxa" w:w="3326"/>
          </w:tcPr>
          <w:p>
            <w:pPr>
              <w:spacing w:before="0" w:after="0" w:line="264" w:lineRule="auto"/>
            </w:pPr>
            <w:r>
              <w:rPr>
                <w:rFonts w:ascii="Arial" w:hAnsi="Arial" w:cs="Arial" w:eastAsia="Arial"/>
                <w:color w:val="0E1E3A"/>
                <w:sz w:val="17"/>
                <w:szCs w:val="17"/>
              </w:rPr>
              <w:t>1.45%</w:t>
            </w:r>
          </w:p>
        </w:tc>
      </w:tr>
      <w:tr>
        <w:tc>
          <w:tcPr>
            <w:tcW w:type="dxa" w:w="3326"/>
          </w:tcPr>
          <w:p>
            <w:pPr>
              <w:spacing w:before="0" w:after="0" w:line="264" w:lineRule="auto"/>
            </w:pPr>
            <w:r>
              <w:rPr>
                <w:rFonts w:ascii="Arial" w:hAnsi="Arial" w:cs="Arial" w:eastAsia="Arial"/>
                <w:color w:val="0E1E3A"/>
                <w:sz w:val="17"/>
                <w:szCs w:val="17"/>
              </w:rPr>
              <w:t>PERFORMANCE SPREAD</w:t>
            </w:r>
          </w:p>
        </w:tc>
        <w:tc>
          <w:tcPr>
            <w:tcW w:type="dxa" w:w="3326"/>
          </w:tcPr>
          <w:p>
            <w:pPr>
              <w:spacing w:before="0" w:after="0" w:line="264" w:lineRule="auto"/>
            </w:pPr>
            <w:r>
              <w:rPr>
                <w:rFonts w:ascii="Arial" w:hAnsi="Arial" w:cs="Arial" w:eastAsia="Arial"/>
                <w:color w:val="0E1E3A"/>
                <w:sz w:val="17"/>
                <w:szCs w:val="17"/>
              </w:rPr>
              <w:t>0.90%</w:t>
            </w:r>
          </w:p>
        </w:tc>
        <w:tc>
          <w:tcPr>
            <w:tcW w:type="dxa" w:w="3326"/>
          </w:tcPr>
          <w:p>
            <w:pPr>
              <w:spacing w:before="0" w:after="0" w:line="264" w:lineRule="auto"/>
            </w:pPr>
            <w:r>
              <w:rPr>
                <w:rFonts w:ascii="Arial" w:hAnsi="Arial" w:cs="Arial" w:eastAsia="Arial"/>
                <w:color w:val="0E1E3A"/>
                <w:sz w:val="17"/>
                <w:szCs w:val="17"/>
              </w:rPr>
              <w:t>-0.03%</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April 2021 to 30 June 2021</w:t>
      </w:r>
      <w:r>
        <w:br/>
      </w:r>
      <w:r>
        <w:rPr>
          <w:rFonts w:ascii="Arial" w:hAnsi="Arial" w:cs="Arial" w:eastAsia="Arial"/>
          <w:color w:val="5A6478"/>
          <w:sz w:val="17"/>
          <w:szCs w:val="17"/>
        </w:rPr>
        <w:t>** For the period from 19 January 2021 to 30 June 2021</w:t>
      </w:r>
      <w:r>
        <w:br/>
      </w:r>
      <w:r>
        <w:rPr>
          <w:rFonts w:ascii="Arial" w:hAnsi="Arial" w:cs="Arial" w:eastAsia="Arial"/>
          <w:color w:val="5A6478"/>
          <w:sz w:val="17"/>
          <w:szCs w:val="17"/>
        </w:rPr>
        <w:t>*** Knowing that the Unit Price in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38"/>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4989"/>
            <w:shd w:val="clear" w:color="auto" w:fill="12284B"/>
          </w:tcPr>
          <w:p>
            <w:pPr>
              <w:spacing w:before="0" w:after="0" w:line="264" w:lineRule="auto"/>
            </w:pPr>
            <w:r>
              <w:rPr>
                <w:rFonts w:ascii="Arial" w:hAnsi="Arial" w:cs="Arial" w:eastAsia="Arial"/>
                <w:b/>
                <w:bCs/>
                <w:color w:val="FFFFFF"/>
                <w:sz w:val="17"/>
                <w:szCs w:val="17"/>
              </w:rPr>
              <w:t>ONE YEAR UP TO 30 JUNE 2021</w:t>
            </w:r>
          </w:p>
        </w:tc>
      </w:tr>
      <w:tr>
        <w:tc>
          <w:tcPr>
            <w:tcW w:type="dxa" w:w="4989"/>
          </w:tcPr>
          <w:p>
            <w:pPr>
              <w:spacing w:before="0" w:after="0" w:line="264" w:lineRule="auto"/>
            </w:pPr>
            <w:r>
              <w:rPr>
                <w:rFonts w:ascii="Arial" w:hAnsi="Arial" w:cs="Arial" w:eastAsia="Arial"/>
                <w:color w:val="0E1E3A"/>
                <w:sz w:val="17"/>
                <w:szCs w:val="17"/>
              </w:rPr>
              <w:t>STANDARD DEVIATION</w:t>
            </w:r>
          </w:p>
        </w:tc>
        <w:tc>
          <w:tcPr>
            <w:tcW w:type="dxa" w:w="4989"/>
          </w:tcPr>
          <w:p>
            <w:pPr>
              <w:spacing w:before="0" w:after="0" w:line="264" w:lineRule="auto"/>
            </w:pPr>
            <w:r>
              <w:rPr>
                <w:rFonts w:ascii="Arial" w:hAnsi="Arial" w:cs="Arial" w:eastAsia="Arial"/>
                <w:color w:val="0E1E3A"/>
                <w:sz w:val="17"/>
                <w:szCs w:val="17"/>
              </w:rPr>
              <w:t>2.79</w:t>
            </w:r>
          </w:p>
        </w:tc>
      </w:tr>
      <w:tr>
        <w:tc>
          <w:tcPr>
            <w:tcW w:type="dxa" w:w="4989"/>
          </w:tcPr>
          <w:p>
            <w:pPr>
              <w:spacing w:before="0" w:after="0" w:line="264" w:lineRule="auto"/>
            </w:pPr>
            <w:r>
              <w:rPr>
                <w:rFonts w:ascii="Arial" w:hAnsi="Arial" w:cs="Arial" w:eastAsia="Arial"/>
                <w:color w:val="0E1E3A"/>
                <w:sz w:val="17"/>
                <w:szCs w:val="17"/>
              </w:rPr>
              <w:t>SHARPE INDEX</w:t>
            </w:r>
          </w:p>
        </w:tc>
        <w:tc>
          <w:tcPr>
            <w:tcW w:type="dxa" w:w="4989"/>
          </w:tcPr>
          <w:p>
            <w:pPr>
              <w:spacing w:before="0" w:after="0" w:line="264" w:lineRule="auto"/>
            </w:pPr>
            <w:r>
              <w:rPr>
                <w:rFonts w:ascii="Arial" w:hAnsi="Arial" w:cs="Arial" w:eastAsia="Arial"/>
                <w:color w:val="0E1E3A"/>
                <w:sz w:val="17"/>
                <w:szCs w:val="17"/>
              </w:rPr>
              <w:t>0.75</w:t>
            </w:r>
          </w:p>
        </w:tc>
      </w:tr>
      <w:tr>
        <w:tc>
          <w:tcPr>
            <w:tcW w:type="dxa" w:w="4989"/>
          </w:tcPr>
          <w:p>
            <w:pPr>
              <w:spacing w:before="0" w:after="0" w:line="264" w:lineRule="auto"/>
            </w:pPr>
            <w:r>
              <w:rPr>
                <w:rFonts w:ascii="Arial" w:hAnsi="Arial" w:cs="Arial" w:eastAsia="Arial"/>
                <w:color w:val="0E1E3A"/>
                <w:sz w:val="17"/>
                <w:szCs w:val="17"/>
              </w:rPr>
              <w:t>TRACKING ERROR</w:t>
            </w:r>
          </w:p>
        </w:tc>
        <w:tc>
          <w:tcPr>
            <w:tcW w:type="dxa" w:w="4989"/>
          </w:tcPr>
          <w:p>
            <w:pPr>
              <w:spacing w:before="0" w:after="0" w:line="264" w:lineRule="auto"/>
            </w:pPr>
            <w:r>
              <w:rPr>
                <w:rFonts w:ascii="Arial" w:hAnsi="Arial" w:cs="Arial" w:eastAsia="Arial"/>
                <w:color w:val="0E1E3A"/>
                <w:sz w:val="17"/>
                <w:szCs w:val="17"/>
              </w:rPr>
              <w:t>2.61</w:t>
            </w:r>
          </w:p>
        </w:tc>
      </w:tr>
      <w:tr>
        <w:tc>
          <w:tcPr>
            <w:tcW w:type="dxa" w:w="4989"/>
          </w:tcPr>
          <w:p>
            <w:pPr>
              <w:spacing w:before="0" w:after="0" w:line="264" w:lineRule="auto"/>
            </w:pPr>
            <w:r>
              <w:rPr>
                <w:rFonts w:ascii="Arial" w:hAnsi="Arial" w:cs="Arial" w:eastAsia="Arial"/>
                <w:color w:val="0E1E3A"/>
                <w:sz w:val="17"/>
                <w:szCs w:val="17"/>
              </w:rPr>
              <w:t>BETA</w:t>
            </w:r>
          </w:p>
        </w:tc>
        <w:tc>
          <w:tcPr>
            <w:tcW w:type="dxa" w:w="4989"/>
          </w:tcPr>
          <w:p>
            <w:pPr>
              <w:spacing w:before="0" w:after="0" w:line="264" w:lineRule="auto"/>
            </w:pPr>
            <w:r>
              <w:rPr>
                <w:rFonts w:ascii="Arial" w:hAnsi="Arial" w:cs="Arial" w:eastAsia="Arial"/>
                <w:color w:val="0E1E3A"/>
                <w:sz w:val="17"/>
                <w:szCs w:val="17"/>
              </w:rPr>
              <w:t>NOT APPLICABLE</w:t>
            </w:r>
          </w:p>
        </w:tc>
      </w:tr>
      <w:tr>
        <w:tc>
          <w:tcPr>
            <w:tcW w:type="dxa" w:w="4989"/>
          </w:tcPr>
          <w:p>
            <w:pPr>
              <w:spacing w:before="0" w:after="0" w:line="264" w:lineRule="auto"/>
            </w:pPr>
            <w:r>
              <w:rPr>
                <w:rFonts w:ascii="Arial" w:hAnsi="Arial" w:cs="Arial" w:eastAsia="Arial"/>
                <w:color w:val="0E1E3A"/>
                <w:sz w:val="17"/>
                <w:szCs w:val="17"/>
              </w:rPr>
              <w:t>ALPHA</w:t>
            </w:r>
          </w:p>
        </w:tc>
        <w:tc>
          <w:tcPr>
            <w:tcW w:type="dxa" w:w="4989"/>
          </w:tcPr>
          <w:p>
            <w:pPr>
              <w:spacing w:before="0" w:after="0" w:line="264" w:lineRule="auto"/>
            </w:pPr>
            <w:r>
              <w:rPr>
                <w:rFonts w:ascii="Arial" w:hAnsi="Arial" w:cs="Arial" w:eastAsia="Arial"/>
                <w:color w:val="0E1E3A"/>
                <w:sz w:val="17"/>
                <w:szCs w:val="17"/>
              </w:rPr>
              <w:t>-0.03%</w:t>
            </w:r>
          </w:p>
        </w:tc>
      </w:tr>
      <w:tr>
        <w:tc>
          <w:tcPr>
            <w:tcW w:type="dxa" w:w="4989"/>
          </w:tcPr>
          <w:p>
            <w:pPr>
              <w:spacing w:before="0" w:after="0" w:line="264" w:lineRule="auto"/>
            </w:pPr>
            <w:r>
              <w:rPr>
                <w:rFonts w:ascii="Arial" w:hAnsi="Arial" w:cs="Arial" w:eastAsia="Arial"/>
                <w:color w:val="0E1E3A"/>
                <w:sz w:val="17"/>
                <w:szCs w:val="17"/>
              </w:rPr>
              <w:t>INFORMATION INDEX</w:t>
            </w:r>
          </w:p>
        </w:tc>
        <w:tc>
          <w:tcPr>
            <w:tcW w:type="dxa" w:w="4989"/>
          </w:tcPr>
          <w:p>
            <w:pPr>
              <w:spacing w:before="0" w:after="0" w:line="264" w:lineRule="auto"/>
            </w:pPr>
            <w:r>
              <w:rPr>
                <w:rFonts w:ascii="Arial" w:hAnsi="Arial" w:cs="Arial" w:eastAsia="Arial"/>
                <w:color w:val="0E1E3A"/>
                <w:sz w:val="17"/>
                <w:szCs w:val="17"/>
              </w:rPr>
              <w:t>-0.01%</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39"/>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MATERIAL OR SIGNIFICANT CHANGES AFFECTING THE PERFORMANCE OF THE FUND</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36.80% of the Fund’s assets in leasing transactions across several types of equipment and companies. The leasing portfolio is mainly invested in the United States, and expected to generate a total return of 6.5% annually over the next five-year term.</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31% of the Fund’s assets in trade finance transactions with several counterparties and across various industries, mostly in the European continent. All executed transactions are of a short-term nature, with returns ranging between 6.5% to 7.0% annually.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16.6% of the Fund’s assets in Sukuk of different credit ratings, including sovereign, semi-sovereign and corporate Sukuk. The Fund Manager has obtained credit facilities that support increasing the portfolio’s returns to over 5% per annum, while maintaining a weighted average for classifying the portfolio as an investment grade.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To diversify the Fund’s investments, the Fund Manager invested 14.5% of the Fund’s assets in income funds, ranging from private financing and leasing to trade finance and securitization, with an expected average annual return of 6.5% to 7.0%.</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plans to distribute the profits earned as per the targeted timeframe specified in the Terms and Conditions.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seeks to benefit from financing, in accordance with Shari’a and as permitted by the Fund’s Terms and Conditions, in order to maximize the Fund’s performance and achieve the targeted returns. The Fund Manager is currently in discussions with banks to secure additional leverage for the Fund with the aim to deploy the funds across the targeted assets.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AND TRADE FINANCE INDUSTRY</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World Leasing Review report, the overall performance of the leasing and equipment finance market varied vastly across various sectors, and remained heavily related to the local market conditions and (COVID-19) vaccination rates. While considerable financial impacts were witnessed in some segments of the industry, other segments experienced steady growth rates.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Meanwhile, the US market showcased a stable recovery in software investment and new business activities in leasing in 2021. As per the Equipment Leasing and Finance Foundation, the annual growth in equipment and software investment is expected to reach 11.2% in the US for 2021, as businesses realigned their strategies to adapt to a new post-pandemic normal. Notably, the US leasing monthly confidence index reached its highest level of 76.1 in April 2021, as compared to 22.3 in April 2020.</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Coalition, the research arm of S&amp;P Global, the global pool of trade finance is expected to rebound to USD 52 billion in 2021 and to around USD 54 billion by 2022, surpassing the pre-pandemic level of USD 53 billion reported in 2019.</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As over 80% to 90% of the world trade relies on trade finance, a 7.2% rise in the global trade volumes in 2021, as reported by the World Trade Organization (WTO), would largely support an increase in the trade finance transactions.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It is also expected an improvement in margins on trade finance transactions on account of lower funding costs due to low interest rates, would drive the growth of revenues of trade finance transactions.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Moreover, the recent implementation of stringent lending criteria (Basel III norms) has created an opportunity for private debt funds and investors to participate in the trade finance industry, which was once restricted only to traditional banks.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addition to that, small and medium sized enterprises (SMEs) present a substantial opportunity for trade finance industry, as traditional banks generally focus on large transactions.</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Although higher oil prices, less government relief support and economic recovery could result in lower sovereign funding requirements, infrequent Sukuk issuers are expected to support 2021 Sukuk volumes.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As per S&amp;P Global Ratings, Sukuk issuances rose to USD 90.6 billion in H1 2021, up from USD 86.4 billion in the same period last year. The increase in offerings from Saudi Arabia, Malaysia and Oman mainly supported the overall increase in Sukuk issuances.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It is further expected that bank and corporate issuances would drive the overall performance of the Sukuk market in the second half of 2021. As corporate activities were muted in 2020 due to the COVID-19 related restrictions, it is expected that a portion of these investments would be executed in 2021.</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expected refinancing of USD 20 billion maturing Sukuk in the second half of 2021, shall drive the overall level of issuances in the Sukuk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w:t>
      </w:r>
    </w:p>
    <w:p>
      <w:pPr>
        <w:spacing w:before="0" w:after="80" w:line="240" w:lineRule="auto"/>
        <w:jc w:val="center"/>
      </w:pPr>
      <w:r>
        <w:drawing>
          <wp:inline xmlns:a="http://schemas.openxmlformats.org/drawingml/2006/main" xmlns:pic="http://schemas.openxmlformats.org/drawingml/2006/picture">
            <wp:extent cx="6336000" cy="2730378"/>
            <wp:docPr id="23" name="Picture 9042"/>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 Prices as at the close of 30 June 2021.</w:t>
      </w:r>
      <w:r>
        <w:br/>
      </w:r>
      <w:r>
        <w:rPr>
          <w:rFonts w:ascii="Arial" w:hAnsi="Arial" w:cs="Arial" w:eastAsia="Arial"/>
          <w:color w:val="5A6478"/>
          <w:sz w:val="17"/>
          <w:szCs w:val="17"/>
        </w:rPr>
        <w:t>The Fund’s performance in the chart is calculated based on the changes in the Unit Price on the Exchange, as the frequency of valuation of the Net Asset Value per Unit is quarterly.</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43"/>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4"/>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the Alkhabeer Diversified Income Traded Fund’s Terms and Conditions.</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Q2 2021</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