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2"/>
            <wp:cNvGraphicFramePr/>
            <a:graphic>
              <a:graphicData uri="http://schemas.openxmlformats.org/drawingml/2006/picture">
                <pic:pic>
                  <pic:nvPicPr>
                    <pic:cNvPr id="9022" name="banner9022.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23"/>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للدخل المتنوع المتداول" ("الصندوق") هو صندوق استثمار متداول مغلق متوافق مع ضوابط الهيئة الشرعية، وتم إنشاؤه بموجب الأنظمة واللوائح المعمول بها في المملكة، ويخضع لرقابة وإشراف هيئة السوق المالية. ويتمثل الهدف الاستثماري للصندوق في تحقيق دخل دوري للمستثمرين من خلال الاستثمار في أصول مدّرة للدخل متوافقة مع ضوابط الهيئة الشرعية لتحقيق دخل دوري للصندوق. وينوي مدير الصندوق "الخبير المالية" الاستثمار في الصكوك، وصفقات التمويل التجاري، وصفقات الإجارة،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2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AKDICIF:AB</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19 يناير 2021م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10.0028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583,481,643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 *</w:t>
            </w:r>
          </w:p>
        </w:tc>
        <w:tc>
          <w:tcPr>
            <w:tcW w:type="dxa" w:w="6860"/>
          </w:tcPr>
          <w:p>
            <w:pPr>
              <w:bidi w:val="1"/>
              <w:spacing w:before="0" w:after="0" w:line="276" w:lineRule="auto"/>
            </w:pPr>
            <w:r>
              <w:rPr>
                <w:rFonts w:ascii="Arial" w:hAnsi="Arial" w:cs="Arial" w:eastAsia="Arial"/>
                <w:b/>
                <w:bCs/>
                <w:color w:val="0E1E3A"/>
                <w:sz w:val="18"/>
                <w:szCs w:val="18"/>
                <w:rtl/>
              </w:rPr>
              <w:t>107,583,784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‎18.44%‎</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‎22.75%‎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ونسبة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‎0.42%‎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يونيو 2022م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2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 *</w:t>
      </w:r>
    </w:p>
    <w:p>
      <w:pPr>
        <w:bidi w:val="1"/>
        <w:spacing w:before="0" w:after="80" w:line="240" w:lineRule="auto"/>
        <w:jc w:val="center"/>
      </w:pPr>
      <w:r>
        <w:drawing>
          <wp:inline xmlns:a="http://schemas.openxmlformats.org/drawingml/2006/main" xmlns:pic="http://schemas.openxmlformats.org/drawingml/2006/picture">
            <wp:extent cx="6336000" cy="1978811"/>
            <wp:docPr id="5" name="Picture 9026"/>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978811"/>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يوضح الرسم البياني أكبر الاستثمارات في الصندوق والتوزيع القطاعي للاستثمارات معًا.</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2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ربع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583,481,643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وحدات الصندوق *</w:t>
            </w:r>
          </w:p>
        </w:tc>
        <w:tc>
          <w:tcPr>
            <w:tcW w:type="dxa" w:w="6860"/>
          </w:tcPr>
          <w:p>
            <w:pPr>
              <w:bidi w:val="1"/>
              <w:spacing w:before="0" w:after="0" w:line="276" w:lineRule="auto"/>
            </w:pPr>
            <w:r>
              <w:rPr>
                <w:rFonts w:ascii="Arial" w:hAnsi="Arial" w:cs="Arial" w:eastAsia="Arial"/>
                <w:b/>
                <w:bCs/>
                <w:color w:val="0E1E3A"/>
                <w:sz w:val="18"/>
                <w:szCs w:val="18"/>
                <w:rtl/>
              </w:rPr>
              <w:t>472,947,509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ونسبة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‎0.50%‎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‎0.62%‎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المصروفات والتكاليف والأتعاب الإجمالية للربع المعني</w:t>
            </w:r>
          </w:p>
        </w:tc>
        <w:tc>
          <w:tcPr>
            <w:tcW w:type="dxa" w:w="6860"/>
          </w:tcPr>
          <w:p>
            <w:pPr>
              <w:bidi w:val="1"/>
              <w:spacing w:before="0" w:after="0" w:line="276" w:lineRule="auto"/>
            </w:pPr>
            <w:r>
              <w:rPr>
                <w:rFonts w:ascii="Arial" w:hAnsi="Arial" w:cs="Arial" w:eastAsia="Arial"/>
                <w:b/>
                <w:bCs/>
                <w:color w:val="0E1E3A"/>
                <w:sz w:val="18"/>
                <w:szCs w:val="18"/>
                <w:rtl/>
              </w:rPr>
              <w:t>2,928,137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للربع المعني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‎0.47%‎</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يونيو 2022م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تكاليف الصندوق هي كافة أتعاب ومصروفات الصندوق متضمنة تكاليف التمويل.</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2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8" name="Picture 9029"/>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3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التمويل التجاري</w:t>
            </w:r>
          </w:p>
        </w:tc>
        <w:tc>
          <w:tcPr>
            <w:tcW w:type="dxa" w:w="6860"/>
          </w:tcPr>
          <w:p>
            <w:pPr>
              <w:bidi w:val="1"/>
              <w:spacing w:before="0" w:after="0" w:line="276" w:lineRule="auto"/>
            </w:pPr>
            <w:r>
              <w:rPr>
                <w:rFonts w:ascii="Arial" w:hAnsi="Arial" w:cs="Arial" w:eastAsia="Arial"/>
                <w:b/>
                <w:bCs/>
                <w:color w:val="0E1E3A"/>
                <w:sz w:val="18"/>
                <w:szCs w:val="18"/>
                <w:rtl/>
              </w:rPr>
              <w:t>119,019,919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الإجارة</w:t>
            </w:r>
          </w:p>
        </w:tc>
        <w:tc>
          <w:tcPr>
            <w:tcW w:type="dxa" w:w="6860"/>
          </w:tcPr>
          <w:p>
            <w:pPr>
              <w:bidi w:val="1"/>
              <w:spacing w:before="0" w:after="0" w:line="276" w:lineRule="auto"/>
            </w:pPr>
            <w:r>
              <w:rPr>
                <w:rFonts w:ascii="Arial" w:hAnsi="Arial" w:cs="Arial" w:eastAsia="Arial"/>
                <w:b/>
                <w:bCs/>
                <w:color w:val="0E1E3A"/>
                <w:sz w:val="18"/>
                <w:szCs w:val="18"/>
                <w:rtl/>
              </w:rPr>
              <w:t>201,118,238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الصكوك</w:t>
            </w:r>
          </w:p>
        </w:tc>
        <w:tc>
          <w:tcPr>
            <w:tcW w:type="dxa" w:w="6860"/>
          </w:tcPr>
          <w:p>
            <w:pPr>
              <w:bidi w:val="1"/>
              <w:spacing w:before="0" w:after="0" w:line="276" w:lineRule="auto"/>
            </w:pPr>
            <w:r>
              <w:rPr>
                <w:rFonts w:ascii="Arial" w:hAnsi="Arial" w:cs="Arial" w:eastAsia="Arial"/>
                <w:b/>
                <w:bCs/>
                <w:color w:val="0E1E3A"/>
                <w:sz w:val="18"/>
                <w:szCs w:val="18"/>
                <w:rtl/>
              </w:rPr>
              <w:t>71,273,188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صناديق الدخل</w:t>
            </w:r>
          </w:p>
        </w:tc>
        <w:tc>
          <w:tcPr>
            <w:tcW w:type="dxa" w:w="6860"/>
          </w:tcPr>
          <w:p>
            <w:pPr>
              <w:bidi w:val="1"/>
              <w:spacing w:before="0" w:after="0" w:line="276" w:lineRule="auto"/>
            </w:pPr>
            <w:r>
              <w:rPr>
                <w:rFonts w:ascii="Arial" w:hAnsi="Arial" w:cs="Arial" w:eastAsia="Arial"/>
                <w:b/>
                <w:bCs/>
                <w:color w:val="0E1E3A"/>
                <w:sz w:val="18"/>
                <w:szCs w:val="18"/>
                <w:rtl/>
              </w:rPr>
              <w:t>138,891,103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53,179,199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 *</w:t>
      </w:r>
    </w:p>
    <w:p>
      <w:pPr>
        <w:bidi w:val="1"/>
        <w:spacing w:before="0" w:after="80" w:line="240" w:lineRule="auto"/>
        <w:jc w:val="center"/>
      </w:pPr>
      <w:r>
        <w:drawing>
          <wp:inline xmlns:a="http://schemas.openxmlformats.org/drawingml/2006/main" xmlns:pic="http://schemas.openxmlformats.org/drawingml/2006/picture">
            <wp:extent cx="6336000" cy="3082378"/>
            <wp:docPr id="11" name="Picture 9032"/>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82378"/>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2"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 *</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2021م</w:t>
            </w:r>
          </w:p>
        </w:tc>
        <w:tc>
          <w:tcPr>
            <w:tcW w:type="dxa" w:w="6860"/>
          </w:tcPr>
          <w:p>
            <w:pPr>
              <w:bidi w:val="1"/>
              <w:spacing w:before="0" w:after="0" w:line="276" w:lineRule="auto"/>
            </w:pPr>
            <w:r>
              <w:rPr>
                <w:rFonts w:ascii="Arial" w:hAnsi="Arial" w:cs="Arial" w:eastAsia="Arial"/>
                <w:b/>
                <w:bCs/>
                <w:color w:val="0E1E3A"/>
                <w:sz w:val="18"/>
                <w:szCs w:val="18"/>
                <w:rtl/>
              </w:rPr>
              <w:t>428,370,118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2021م</w:t>
            </w:r>
          </w:p>
        </w:tc>
        <w:tc>
          <w:tcPr>
            <w:tcW w:type="dxa" w:w="6860"/>
          </w:tcPr>
          <w:p>
            <w:pPr>
              <w:bidi w:val="1"/>
              <w:spacing w:before="0" w:after="0" w:line="276" w:lineRule="auto"/>
            </w:pPr>
            <w:r>
              <w:rPr>
                <w:rFonts w:ascii="Arial" w:hAnsi="Arial" w:cs="Arial" w:eastAsia="Arial"/>
                <w:b/>
                <w:bCs/>
                <w:color w:val="0E1E3A"/>
                <w:sz w:val="18"/>
                <w:szCs w:val="18"/>
                <w:rtl/>
              </w:rPr>
              <w:t>433,098,265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2021م</w:t>
            </w:r>
          </w:p>
        </w:tc>
        <w:tc>
          <w:tcPr>
            <w:tcW w:type="dxa" w:w="6860"/>
          </w:tcPr>
          <w:p>
            <w:pPr>
              <w:bidi w:val="1"/>
              <w:spacing w:before="0" w:after="0" w:line="276" w:lineRule="auto"/>
            </w:pPr>
            <w:r>
              <w:rPr>
                <w:rFonts w:ascii="Arial" w:hAnsi="Arial" w:cs="Arial" w:eastAsia="Arial"/>
                <w:b/>
                <w:bCs/>
                <w:color w:val="0E1E3A"/>
                <w:sz w:val="18"/>
                <w:szCs w:val="18"/>
                <w:rtl/>
              </w:rPr>
              <w:t>427,897,304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2021م</w:t>
            </w:r>
          </w:p>
        </w:tc>
        <w:tc>
          <w:tcPr>
            <w:tcW w:type="dxa" w:w="6860"/>
          </w:tcPr>
          <w:p>
            <w:pPr>
              <w:bidi w:val="1"/>
              <w:spacing w:before="0" w:after="0" w:line="276" w:lineRule="auto"/>
            </w:pPr>
            <w:r>
              <w:rPr>
                <w:rFonts w:ascii="Arial" w:hAnsi="Arial" w:cs="Arial" w:eastAsia="Arial"/>
                <w:b/>
                <w:bCs/>
                <w:color w:val="0E1E3A"/>
                <w:sz w:val="18"/>
                <w:szCs w:val="18"/>
                <w:rtl/>
              </w:rPr>
              <w:t>409,930,345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2022م</w:t>
            </w:r>
          </w:p>
        </w:tc>
        <w:tc>
          <w:tcPr>
            <w:tcW w:type="dxa" w:w="6860"/>
          </w:tcPr>
          <w:p>
            <w:pPr>
              <w:bidi w:val="1"/>
              <w:spacing w:before="0" w:after="0" w:line="276" w:lineRule="auto"/>
            </w:pPr>
            <w:r>
              <w:rPr>
                <w:rFonts w:ascii="Arial" w:hAnsi="Arial" w:cs="Arial" w:eastAsia="Arial"/>
                <w:b/>
                <w:bCs/>
                <w:color w:val="0E1E3A"/>
                <w:sz w:val="18"/>
                <w:szCs w:val="18"/>
                <w:rtl/>
              </w:rPr>
              <w:t>402,838,124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2022م</w:t>
            </w:r>
          </w:p>
        </w:tc>
        <w:tc>
          <w:tcPr>
            <w:tcW w:type="dxa" w:w="6860"/>
          </w:tcPr>
          <w:p>
            <w:pPr>
              <w:bidi w:val="1"/>
              <w:spacing w:before="0" w:after="0" w:line="276" w:lineRule="auto"/>
            </w:pPr>
            <w:r>
              <w:rPr>
                <w:rFonts w:ascii="Arial" w:hAnsi="Arial" w:cs="Arial" w:eastAsia="Arial"/>
                <w:b/>
                <w:bCs/>
                <w:color w:val="0E1E3A"/>
                <w:sz w:val="18"/>
                <w:szCs w:val="18"/>
                <w:rtl/>
              </w:rPr>
              <w:t>342,317,843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الثاني (30 يونيو 2022م)</w:t>
            </w:r>
          </w:p>
        </w:tc>
        <w:tc>
          <w:tcPr>
            <w:tcW w:type="dxa" w:w="6860"/>
          </w:tcPr>
          <w:p>
            <w:pPr>
              <w:bidi w:val="1"/>
              <w:spacing w:before="0" w:after="0" w:line="276" w:lineRule="auto"/>
            </w:pPr>
            <w:r>
              <w:rPr>
                <w:rFonts w:ascii="Arial" w:hAnsi="Arial" w:cs="Arial" w:eastAsia="Arial"/>
                <w:b/>
                <w:bCs/>
                <w:color w:val="0E1E3A"/>
                <w:sz w:val="18"/>
                <w:szCs w:val="18"/>
                <w:rtl/>
              </w:rPr>
              <w:t>7.24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 (من تاريخ 31 مارس 2022 إلى 30 يونيو 2022م)*</w:t>
            </w:r>
          </w:p>
        </w:tc>
        <w:tc>
          <w:tcPr>
            <w:tcW w:type="dxa" w:w="6860"/>
          </w:tcPr>
          <w:p>
            <w:pPr>
              <w:bidi w:val="1"/>
              <w:spacing w:before="0" w:after="0" w:line="276" w:lineRule="auto"/>
            </w:pPr>
            <w:r>
              <w:rPr>
                <w:rFonts w:ascii="Arial" w:hAnsi="Arial" w:cs="Arial" w:eastAsia="Arial"/>
                <w:b/>
                <w:bCs/>
                <w:color w:val="0E1E3A"/>
                <w:sz w:val="18"/>
                <w:szCs w:val="18"/>
              </w:rPr>
              <w:t>‎-15.02%‎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الثاني 2022م)</w:t>
            </w:r>
          </w:p>
        </w:tc>
        <w:tc>
          <w:tcPr>
            <w:tcW w:type="dxa" w:w="6860"/>
          </w:tcPr>
          <w:p>
            <w:pPr>
              <w:bidi w:val="1"/>
              <w:spacing w:before="0" w:after="0" w:line="276" w:lineRule="auto"/>
            </w:pPr>
            <w:r>
              <w:rPr>
                <w:rFonts w:ascii="Arial" w:hAnsi="Arial" w:cs="Arial" w:eastAsia="Arial"/>
                <w:b/>
                <w:bCs/>
                <w:color w:val="0E1E3A"/>
                <w:sz w:val="18"/>
                <w:szCs w:val="18"/>
              </w:rPr>
              <w:t>‎-27.60%‎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9.44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6.94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47,281,470 وحدة</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سعر الوحدة بتاريخ 31 مارس 2022م = 8.52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35"/>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سيقوم مدير الصندوق بتوزيع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الأرباح نصف السنوية المستلمة من عوائد استثمارات الصندوق بعد خصم المصروفات من مالكي الوحدات مرتين في السنة، على أن تكون التوزيعات خلال شهري أغسطس وفبراير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الربع المعني*</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فتره نصف سنوية**</w:t>
            </w:r>
          </w:p>
        </w:tc>
        <w:tc>
          <w:tcPr>
            <w:tcW w:type="dxa" w:w="6860"/>
          </w:tcPr>
          <w:p>
            <w:pPr>
              <w:bidi w:val="1"/>
              <w:spacing w:before="0" w:after="0" w:line="276" w:lineRule="auto"/>
            </w:pPr>
            <w:r>
              <w:rPr>
                <w:rFonts w:ascii="Arial" w:hAnsi="Arial" w:cs="Arial" w:eastAsia="Arial"/>
                <w:b/>
                <w:bCs/>
                <w:color w:val="0E1E3A"/>
                <w:sz w:val="18"/>
                <w:szCs w:val="18"/>
                <w:rtl/>
              </w:rPr>
              <w:t>11,820,368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0.25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‎2.50%‎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 ***</w:t>
            </w:r>
          </w:p>
        </w:tc>
        <w:tc>
          <w:tcPr>
            <w:tcW w:type="dxa" w:w="6860"/>
          </w:tcPr>
          <w:p>
            <w:pPr>
              <w:bidi w:val="1"/>
              <w:spacing w:before="0" w:after="0" w:line="276" w:lineRule="auto"/>
            </w:pPr>
            <w:r>
              <w:rPr>
                <w:rFonts w:ascii="Arial" w:hAnsi="Arial" w:cs="Arial" w:eastAsia="Arial"/>
                <w:b/>
                <w:bCs/>
                <w:color w:val="0E1E3A"/>
                <w:sz w:val="18"/>
                <w:szCs w:val="18"/>
              </w:rPr>
              <w:t>‎3.45%‎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10,706,181.58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(30 يونيو 2022م)</w:t>
            </w:r>
          </w:p>
        </w:tc>
        <w:tc>
          <w:tcPr>
            <w:tcW w:type="dxa" w:w="6860"/>
          </w:tcPr>
          <w:p>
            <w:pPr>
              <w:bidi w:val="1"/>
              <w:spacing w:before="0" w:after="0" w:line="276" w:lineRule="auto"/>
            </w:pPr>
            <w:r>
              <w:rPr>
                <w:rFonts w:ascii="Arial" w:hAnsi="Arial" w:cs="Arial" w:eastAsia="Arial"/>
                <w:b/>
                <w:bCs/>
                <w:color w:val="0E1E3A"/>
                <w:sz w:val="18"/>
                <w:szCs w:val="18"/>
              </w:rPr>
              <w:t>‎3.13%‎</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1 أبريل 2022م إلى 30 يونيو 2022م</w:t>
      </w:r>
      <w:r>
        <w:br/>
      </w:r>
      <w:r>
        <w:rPr>
          <w:rFonts w:ascii="Arial" w:hAnsi="Arial" w:cs="Arial" w:eastAsia="Arial"/>
          <w:color w:val="5A6478"/>
          <w:sz w:val="17"/>
          <w:szCs w:val="17"/>
          <w:rtl/>
        </w:rPr>
        <w:t>** من 1 يناير 2022م إلى 30 يونيو 2022م</w:t>
      </w:r>
      <w:r>
        <w:br/>
      </w:r>
      <w:r>
        <w:rPr>
          <w:rFonts w:ascii="Arial" w:hAnsi="Arial" w:cs="Arial" w:eastAsia="Arial"/>
          <w:color w:val="5A6478"/>
          <w:sz w:val="17"/>
          <w:szCs w:val="17"/>
          <w:rtl/>
        </w:rPr>
        <w:t>*** سعر الوحدة بتاريخ 30 يونيو 2022م = 7.24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معدل (الليبور- LIBOR) لمدة 12 شهر زائد 300 نقطة أساس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الفترة السابقة *</w:t>
            </w:r>
          </w:p>
        </w:tc>
        <w:tc>
          <w:tcPr>
            <w:tcW w:type="dxa" w:w="6860"/>
          </w:tcPr>
          <w:p>
            <w:pPr>
              <w:bidi w:val="1"/>
              <w:spacing w:before="0" w:after="0" w:line="276" w:lineRule="auto"/>
            </w:pPr>
            <w:r>
              <w:rPr>
                <w:rFonts w:ascii="Arial" w:hAnsi="Arial" w:cs="Arial" w:eastAsia="Arial"/>
                <w:b/>
                <w:bCs/>
                <w:color w:val="0E1E3A"/>
                <w:sz w:val="18"/>
                <w:szCs w:val="18"/>
              </w:rPr>
              <w:t>‎-15.02%‎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البدء **</w:t>
            </w:r>
          </w:p>
        </w:tc>
        <w:tc>
          <w:tcPr>
            <w:tcW w:type="dxa" w:w="6860"/>
          </w:tcPr>
          <w:p>
            <w:pPr>
              <w:bidi w:val="1"/>
              <w:spacing w:before="0" w:after="0" w:line="276" w:lineRule="auto"/>
            </w:pPr>
            <w:r>
              <w:rPr>
                <w:rFonts w:ascii="Arial" w:hAnsi="Arial" w:cs="Arial" w:eastAsia="Arial"/>
                <w:b/>
                <w:bCs/>
                <w:color w:val="0E1E3A"/>
                <w:sz w:val="18"/>
                <w:szCs w:val="18"/>
              </w:rPr>
              <w:t>‎-27.60%‎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البدء ***</w:t>
            </w:r>
          </w:p>
        </w:tc>
        <w:tc>
          <w:tcPr>
            <w:tcW w:type="dxa" w:w="6860"/>
          </w:tcPr>
          <w:p>
            <w:pPr>
              <w:bidi w:val="1"/>
              <w:spacing w:before="0" w:after="0" w:line="276" w:lineRule="auto"/>
            </w:pPr>
            <w:r>
              <w:rPr>
                <w:rFonts w:ascii="Arial" w:hAnsi="Arial" w:cs="Arial" w:eastAsia="Arial"/>
                <w:b/>
                <w:bCs/>
                <w:color w:val="0E1E3A"/>
                <w:sz w:val="18"/>
                <w:szCs w:val="18"/>
              </w:rPr>
              <w:t>‎-23.30%‎</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سعر الوحدة كما في 31 مارس 2022م = 8.52 ر.س</w:t>
      </w:r>
      <w:r>
        <w:br/>
      </w:r>
      <w:r>
        <w:rPr>
          <w:rFonts w:ascii="Arial" w:hAnsi="Arial" w:cs="Arial" w:eastAsia="Arial"/>
          <w:color w:val="5A6478"/>
          <w:sz w:val="17"/>
          <w:szCs w:val="17"/>
          <w:rtl/>
        </w:rPr>
        <w:t>** من تاريخ بدء الصندوق إلى نهاية الربع الثاني من العام 2022م.</w:t>
      </w:r>
      <w:r>
        <w:br/>
      </w:r>
      <w:r>
        <w:rPr>
          <w:rFonts w:ascii="Arial" w:hAnsi="Arial" w:cs="Arial" w:eastAsia="Arial"/>
          <w:color w:val="5A6478"/>
          <w:sz w:val="17"/>
          <w:szCs w:val="17"/>
          <w:rtl/>
        </w:rPr>
        <w:t>*** العائد الكلي = أداء سعر الوحدة + إجمالي الأرباح الموزعة (إن وجدت).</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المؤشر الاسترشادي للصندوق هو مؤشر معدل (الليبور- LIBOR) لمدة 12 شهر زائد 300 نقطة أساس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38"/>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 *</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معدل (الليبور- LIBOR) لمدة 12 شهر زائد 300 نقطة أساس</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 *</w:t>
            </w:r>
          </w:p>
        </w:tc>
        <w:tc>
          <w:tcPr>
            <w:tcW w:type="dxa" w:w="3326"/>
          </w:tcPr>
          <w:p>
            <w:pPr>
              <w:bidi w:val="1"/>
              <w:spacing w:before="0" w:after="0" w:line="264" w:lineRule="auto"/>
            </w:pPr>
            <w:r>
              <w:rPr>
                <w:rFonts w:ascii="Arial" w:hAnsi="Arial" w:cs="Arial" w:eastAsia="Arial"/>
                <w:color w:val="0E1E3A"/>
                <w:sz w:val="17"/>
                <w:szCs w:val="17"/>
                <w:rtl/>
              </w:rPr>
              <w:t>9.9877</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 **</w:t>
            </w:r>
          </w:p>
        </w:tc>
        <w:tc>
          <w:tcPr>
            <w:tcW w:type="dxa" w:w="3326"/>
          </w:tcPr>
          <w:p>
            <w:pPr>
              <w:bidi w:val="1"/>
              <w:spacing w:before="0" w:after="0" w:line="264" w:lineRule="auto"/>
            </w:pPr>
            <w:r>
              <w:rPr>
                <w:rFonts w:ascii="Arial" w:hAnsi="Arial" w:cs="Arial" w:eastAsia="Arial"/>
                <w:color w:val="0E1E3A"/>
                <w:sz w:val="17"/>
                <w:szCs w:val="17"/>
                <w:rtl/>
              </w:rPr>
              <w:t>10.0028</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‎0.015%‎</w:t>
            </w:r>
          </w:p>
        </w:tc>
        <w:tc>
          <w:tcPr>
            <w:tcW w:type="dxa" w:w="3326"/>
          </w:tcPr>
          <w:p>
            <w:pPr>
              <w:bidi w:val="1"/>
              <w:spacing w:before="0" w:after="0" w:line="264" w:lineRule="auto"/>
            </w:pPr>
            <w:r>
              <w:rPr>
                <w:rFonts w:ascii="Arial" w:hAnsi="Arial" w:cs="Arial" w:eastAsia="Arial"/>
                <w:color w:val="0E1E3A"/>
                <w:sz w:val="17"/>
                <w:szCs w:val="17"/>
                <w:rtl/>
              </w:rPr>
              <w:t>1.36 % ***</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مارس 2022م.</w:t>
      </w:r>
      <w:r>
        <w:br/>
      </w:r>
      <w:r>
        <w:rPr>
          <w:rFonts w:ascii="Arial" w:hAnsi="Arial" w:cs="Arial" w:eastAsia="Arial"/>
          <w:color w:val="5A6478"/>
          <w:sz w:val="17"/>
          <w:szCs w:val="17"/>
          <w:rtl/>
        </w:rPr>
        <w:t>** كما في تاريخ 30 يونيو 2022م.</w:t>
      </w:r>
      <w:r>
        <w:br/>
      </w:r>
      <w:r>
        <w:rPr>
          <w:rFonts w:ascii="Arial" w:hAnsi="Arial" w:cs="Arial" w:eastAsia="Arial"/>
          <w:color w:val="5A6478"/>
          <w:sz w:val="17"/>
          <w:szCs w:val="17"/>
          <w:rtl/>
        </w:rPr>
        <w:t xml:space="preserve">*** متوسط أداء المؤشر الاسترشادي يعادل </w:t>
      </w:r>
      <w:r>
        <w:rPr>
          <w:rFonts w:ascii="Arial" w:hAnsi="Arial" w:cs="Arial" w:eastAsia="Arial"/>
          <w:color w:val="5A6478"/>
          <w:sz w:val="17"/>
          <w:szCs w:val="17"/>
        </w:rPr>
        <w:t>‎4.10%‎</w:t>
      </w:r>
      <w:r>
        <w:rPr>
          <w:rFonts w:ascii="Arial" w:hAnsi="Arial" w:cs="Arial" w:eastAsia="Arial"/>
          <w:color w:val="5A6478"/>
          <w:sz w:val="17"/>
          <w:szCs w:val="17"/>
          <w:rtl/>
        </w:rPr>
        <w:t xml:space="preserve"> سنويًا أي ما يعادل عائد </w:t>
      </w:r>
      <w:r>
        <w:rPr>
          <w:rFonts w:ascii="Arial" w:hAnsi="Arial" w:cs="Arial" w:eastAsia="Arial"/>
          <w:color w:val="5A6478"/>
          <w:sz w:val="17"/>
          <w:szCs w:val="17"/>
        </w:rPr>
        <w:t>‎1.36%‎</w:t>
      </w:r>
      <w:r>
        <w:rPr>
          <w:rFonts w:ascii="Arial" w:hAnsi="Arial" w:cs="Arial" w:eastAsia="Arial"/>
          <w:color w:val="5A6478"/>
          <w:sz w:val="17"/>
          <w:szCs w:val="17"/>
          <w:rtl/>
        </w:rPr>
        <w:t xml:space="preserve"> للربع المعني.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40"/>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2494"/>
        <w:gridCol w:w="2494"/>
        <w:gridCol w:w="2494"/>
        <w:gridCol w:w="2494"/>
      </w:tblGrid>
      <w:tr>
        <w:trPr>
          <w:tblHeader/>
        </w:trPr>
        <w:tc>
          <w:tcPr>
            <w:tcW w:type="dxa" w:w="2494"/>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3 أشهر</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من بداية السنة حتى تاريخ 30 يونيو 2022م</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سنة واحدة</w:t>
            </w:r>
          </w:p>
        </w:tc>
      </w:tr>
      <w:tr>
        <w:tc>
          <w:tcPr>
            <w:tcW w:type="dxa" w:w="2494"/>
          </w:tcPr>
          <w:p>
            <w:pPr>
              <w:bidi w:val="1"/>
              <w:spacing w:before="0" w:after="0" w:line="264" w:lineRule="auto"/>
            </w:pPr>
            <w:r>
              <w:rPr>
                <w:rFonts w:ascii="Arial" w:hAnsi="Arial" w:cs="Arial" w:eastAsia="Arial"/>
                <w:color w:val="0E1E3A"/>
                <w:sz w:val="17"/>
                <w:szCs w:val="17"/>
                <w:rtl/>
              </w:rPr>
              <w:t>العائد الكلي لصافي قيمة الوحدة</w:t>
            </w:r>
          </w:p>
        </w:tc>
        <w:tc>
          <w:tcPr>
            <w:tcW w:type="dxa" w:w="2494"/>
          </w:tcPr>
          <w:p>
            <w:pPr>
              <w:bidi w:val="1"/>
              <w:spacing w:before="0" w:after="0" w:line="264" w:lineRule="auto"/>
            </w:pPr>
            <w:r>
              <w:rPr>
                <w:rFonts w:ascii="Arial" w:hAnsi="Arial" w:cs="Arial" w:eastAsia="Arial"/>
                <w:color w:val="0E1E3A"/>
                <w:sz w:val="17"/>
                <w:szCs w:val="17"/>
              </w:rPr>
              <w:t>‎0.01%‎</w:t>
            </w:r>
            <w:r>
              <w:rPr>
                <w:rFonts w:ascii="Arial" w:hAnsi="Arial" w:cs="Arial" w:eastAsia="Arial"/>
                <w:color w:val="0E1E3A"/>
                <w:sz w:val="17"/>
                <w:szCs w:val="17"/>
                <w:rtl/>
              </w:rPr>
              <w:t xml:space="preserve"> *</w:t>
            </w:r>
          </w:p>
        </w:tc>
        <w:tc>
          <w:tcPr>
            <w:tcW w:type="dxa" w:w="2494"/>
          </w:tcPr>
          <w:p>
            <w:pPr>
              <w:bidi w:val="1"/>
              <w:spacing w:before="0" w:after="0" w:line="264" w:lineRule="auto"/>
            </w:pPr>
            <w:r>
              <w:rPr>
                <w:rFonts w:ascii="Arial" w:hAnsi="Arial" w:cs="Arial" w:eastAsia="Arial"/>
                <w:color w:val="0E1E3A"/>
                <w:sz w:val="17"/>
                <w:szCs w:val="17"/>
              </w:rPr>
              <w:t>‎0.01%‎</w:t>
            </w:r>
            <w:r>
              <w:rPr>
                <w:rFonts w:ascii="Arial" w:hAnsi="Arial" w:cs="Arial" w:eastAsia="Arial"/>
                <w:color w:val="0E1E3A"/>
                <w:sz w:val="17"/>
                <w:szCs w:val="17"/>
                <w:rtl/>
              </w:rPr>
              <w:t xml:space="preserve"> **</w:t>
            </w:r>
          </w:p>
        </w:tc>
        <w:tc>
          <w:tcPr>
            <w:tcW w:type="dxa" w:w="2494"/>
          </w:tcPr>
          <w:p>
            <w:pPr>
              <w:bidi w:val="1"/>
              <w:spacing w:before="0" w:after="0" w:line="264" w:lineRule="auto"/>
            </w:pPr>
            <w:r>
              <w:rPr>
                <w:rFonts w:ascii="Arial" w:hAnsi="Arial" w:cs="Arial" w:eastAsia="Arial"/>
                <w:color w:val="0E1E3A"/>
                <w:sz w:val="17"/>
                <w:szCs w:val="17"/>
              </w:rPr>
              <w:t>‎2.90%‎</w:t>
            </w:r>
            <w:r>
              <w:rPr>
                <w:rFonts w:ascii="Arial" w:hAnsi="Arial" w:cs="Arial" w:eastAsia="Arial"/>
                <w:color w:val="0E1E3A"/>
                <w:sz w:val="17"/>
                <w:szCs w:val="17"/>
                <w:rtl/>
              </w:rPr>
              <w:t>***</w:t>
            </w:r>
          </w:p>
        </w:tc>
      </w:tr>
      <w:tr>
        <w:tc>
          <w:tcPr>
            <w:tcW w:type="dxa" w:w="2494"/>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2494"/>
          </w:tcPr>
          <w:p>
            <w:pPr>
              <w:bidi w:val="1"/>
              <w:spacing w:before="0" w:after="0" w:line="264" w:lineRule="auto"/>
            </w:pPr>
            <w:r>
              <w:rPr>
                <w:rFonts w:ascii="Arial" w:hAnsi="Arial" w:cs="Arial" w:eastAsia="Arial"/>
                <w:color w:val="0E1E3A"/>
                <w:sz w:val="17"/>
                <w:szCs w:val="17"/>
                <w:rtl/>
              </w:rPr>
              <w:t>1.36 %</w:t>
            </w:r>
          </w:p>
        </w:tc>
        <w:tc>
          <w:tcPr>
            <w:tcW w:type="dxa" w:w="2494"/>
          </w:tcPr>
          <w:p>
            <w:pPr>
              <w:bidi w:val="1"/>
              <w:spacing w:before="0" w:after="0" w:line="264" w:lineRule="auto"/>
            </w:pPr>
            <w:r>
              <w:rPr>
                <w:rFonts w:ascii="Arial" w:hAnsi="Arial" w:cs="Arial" w:eastAsia="Arial"/>
                <w:color w:val="0E1E3A"/>
                <w:sz w:val="17"/>
                <w:szCs w:val="17"/>
                <w:rtl/>
              </w:rPr>
              <w:t>2.41 %</w:t>
            </w:r>
          </w:p>
        </w:tc>
        <w:tc>
          <w:tcPr>
            <w:tcW w:type="dxa" w:w="2494"/>
          </w:tcPr>
          <w:p>
            <w:pPr>
              <w:bidi w:val="1"/>
              <w:spacing w:before="0" w:after="0" w:line="264" w:lineRule="auto"/>
            </w:pPr>
            <w:r>
              <w:rPr>
                <w:rFonts w:ascii="Arial" w:hAnsi="Arial" w:cs="Arial" w:eastAsia="Arial"/>
                <w:color w:val="0E1E3A"/>
                <w:sz w:val="17"/>
                <w:szCs w:val="17"/>
                <w:rtl/>
              </w:rPr>
              <w:t>4.10 %</w:t>
            </w:r>
          </w:p>
        </w:tc>
      </w:tr>
      <w:tr>
        <w:tc>
          <w:tcPr>
            <w:tcW w:type="dxa" w:w="2494"/>
          </w:tcPr>
          <w:p>
            <w:pPr>
              <w:bidi w:val="1"/>
              <w:spacing w:before="0" w:after="0" w:line="264" w:lineRule="auto"/>
            </w:pPr>
            <w:r>
              <w:rPr>
                <w:rFonts w:ascii="Arial" w:hAnsi="Arial" w:cs="Arial" w:eastAsia="Arial"/>
                <w:color w:val="0E1E3A"/>
                <w:sz w:val="17"/>
                <w:szCs w:val="17"/>
                <w:rtl/>
              </w:rPr>
              <w:t>فارق الأداء</w:t>
            </w:r>
          </w:p>
        </w:tc>
        <w:tc>
          <w:tcPr>
            <w:tcW w:type="dxa" w:w="2494"/>
          </w:tcPr>
          <w:p>
            <w:pPr>
              <w:bidi w:val="1"/>
              <w:spacing w:before="0" w:after="0" w:line="264" w:lineRule="auto"/>
            </w:pPr>
            <w:r>
              <w:rPr>
                <w:rFonts w:ascii="Arial" w:hAnsi="Arial" w:cs="Arial" w:eastAsia="Arial"/>
                <w:color w:val="0E1E3A"/>
                <w:sz w:val="17"/>
                <w:szCs w:val="17"/>
              </w:rPr>
              <w:t>‎-1.35%‎</w:t>
            </w:r>
          </w:p>
        </w:tc>
        <w:tc>
          <w:tcPr>
            <w:tcW w:type="dxa" w:w="2494"/>
          </w:tcPr>
          <w:p>
            <w:pPr>
              <w:bidi w:val="1"/>
              <w:spacing w:before="0" w:after="0" w:line="264" w:lineRule="auto"/>
            </w:pPr>
            <w:r>
              <w:rPr>
                <w:rFonts w:ascii="Arial" w:hAnsi="Arial" w:cs="Arial" w:eastAsia="Arial"/>
                <w:color w:val="0E1E3A"/>
                <w:sz w:val="17"/>
                <w:szCs w:val="17"/>
              </w:rPr>
              <w:t>‎-2.40%‎</w:t>
            </w:r>
          </w:p>
        </w:tc>
        <w:tc>
          <w:tcPr>
            <w:tcW w:type="dxa" w:w="2494"/>
          </w:tcPr>
          <w:p>
            <w:pPr>
              <w:bidi w:val="1"/>
              <w:spacing w:before="0" w:after="0" w:line="264" w:lineRule="auto"/>
            </w:pPr>
            <w:r>
              <w:rPr>
                <w:rFonts w:ascii="Arial" w:hAnsi="Arial" w:cs="Arial" w:eastAsia="Arial"/>
                <w:color w:val="0E1E3A"/>
                <w:sz w:val="17"/>
                <w:szCs w:val="17"/>
              </w:rPr>
              <w:t>‎-1.20%‎</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عن الفترة من 1 إبريل 2022م إلى 30 يونيو 2022م</w:t>
      </w:r>
      <w:r>
        <w:br/>
      </w:r>
      <w:r>
        <w:rPr>
          <w:rFonts w:ascii="Arial" w:hAnsi="Arial" w:cs="Arial" w:eastAsia="Arial"/>
          <w:color w:val="5A6478"/>
          <w:sz w:val="17"/>
          <w:szCs w:val="17"/>
          <w:rtl/>
        </w:rPr>
        <w:t xml:space="preserve">** عن الفترة من 1 يناير 2022م إلى 30 يونيو 2022م متضمنة التوزيعات النقدية بنسبة </w:t>
      </w:r>
      <w:r>
        <w:rPr>
          <w:rFonts w:ascii="Arial" w:hAnsi="Arial" w:cs="Arial" w:eastAsia="Arial"/>
          <w:color w:val="5A6478"/>
          <w:sz w:val="17"/>
          <w:szCs w:val="17"/>
        </w:rPr>
        <w:t>‎2.50%‎</w:t>
      </w:r>
      <w:r>
        <w:br/>
      </w:r>
      <w:r>
        <w:rPr>
          <w:rFonts w:ascii="Arial" w:hAnsi="Arial" w:cs="Arial" w:eastAsia="Arial"/>
          <w:color w:val="5A6478"/>
          <w:sz w:val="17"/>
          <w:szCs w:val="17"/>
          <w:rtl/>
        </w:rPr>
        <w:t xml:space="preserve">*** عن الفترة من 30 يونيو 2021م إلى 30 يونيو 2022م متضمنة توزيعات نقدية بنسبة </w:t>
      </w:r>
      <w:r>
        <w:rPr>
          <w:rFonts w:ascii="Arial" w:hAnsi="Arial" w:cs="Arial" w:eastAsia="Arial"/>
          <w:color w:val="5A6478"/>
          <w:sz w:val="17"/>
          <w:szCs w:val="17"/>
        </w:rPr>
        <w:t>‎4.3%‎</w:t>
      </w:r>
      <w:r>
        <w:rPr>
          <w:rFonts w:ascii="Arial" w:hAnsi="Arial" w:cs="Arial" w:eastAsia="Arial"/>
          <w:color w:val="5A6478"/>
          <w:sz w:val="17"/>
          <w:szCs w:val="17"/>
          <w:rtl/>
        </w:rPr>
        <w:t xml:space="preserve"> (سعر الوحدة 30 يونيو 2022م = 10.1423 ر.س).</w:t>
      </w:r>
      <w:r>
        <w:br/>
      </w:r>
      <w:r>
        <w:rPr>
          <w:rFonts w:ascii="Arial" w:hAnsi="Arial" w:cs="Arial" w:eastAsia="Arial"/>
          <w:color w:val="5A6478"/>
          <w:sz w:val="17"/>
          <w:szCs w:val="17"/>
          <w:rtl/>
        </w:rPr>
        <w:t>يجب الإحاطة بأن سعر الوحدة في السوق المالية يخضع للارتفاع والانخفاض بناءً على عوامل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41"/>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2494"/>
        <w:gridCol w:w="2494"/>
        <w:gridCol w:w="2494"/>
        <w:gridCol w:w="2494"/>
      </w:tblGrid>
      <w:tr>
        <w:trPr>
          <w:tblHeader/>
        </w:trPr>
        <w:tc>
          <w:tcPr>
            <w:tcW w:type="dxa" w:w="2494"/>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3 أشهر</w:t>
            </w:r>
            <w:r>
              <w:rPr>
                <w:rFonts w:ascii="Arial" w:hAnsi="Arial" w:cs="Arial" w:eastAsia="Arial"/>
                <w:b/>
                <w:bCs/>
                <w:color w:val="FFFFFF"/>
                <w:sz w:val="17"/>
                <w:szCs w:val="17"/>
                <w:rtl/>
              </w:rPr>
              <w:t>1</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من بداية السنة حتى تاريخ 30 يونيو 2022م</w:t>
            </w:r>
            <w:r>
              <w:rPr>
                <w:rFonts w:ascii="Arial" w:hAnsi="Arial" w:cs="Arial" w:eastAsia="Arial"/>
                <w:b/>
                <w:bCs/>
                <w:color w:val="FFFFFF"/>
                <w:sz w:val="17"/>
                <w:szCs w:val="17"/>
                <w:rtl/>
              </w:rPr>
              <w:t>2</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سنة واحدة</w:t>
            </w:r>
          </w:p>
        </w:tc>
      </w:tr>
      <w:tr>
        <w:tc>
          <w:tcPr>
            <w:tcW w:type="dxa" w:w="2494"/>
          </w:tcPr>
          <w:p>
            <w:pPr>
              <w:bidi w:val="1"/>
              <w:spacing w:before="0" w:after="0" w:line="264" w:lineRule="auto"/>
            </w:pPr>
            <w:r>
              <w:rPr>
                <w:rFonts w:ascii="Arial" w:hAnsi="Arial" w:cs="Arial" w:eastAsia="Arial"/>
                <w:color w:val="0E1E3A"/>
                <w:sz w:val="17"/>
                <w:szCs w:val="17"/>
                <w:rtl/>
              </w:rPr>
              <w:t>الانحراف المعياري</w:t>
            </w:r>
            <w:r>
              <w:rPr>
                <w:rFonts w:ascii="Arial" w:hAnsi="Arial" w:cs="Arial" w:eastAsia="Arial"/>
                <w:color w:val="0E1E3A"/>
                <w:sz w:val="17"/>
                <w:szCs w:val="17"/>
                <w:rtl/>
              </w:rPr>
              <w:t>3</w:t>
            </w:r>
          </w:p>
        </w:tc>
        <w:tc>
          <w:tcPr>
            <w:tcW w:type="dxa" w:w="2494"/>
          </w:tcPr>
          <w:p>
            <w:pPr>
              <w:bidi w:val="1"/>
              <w:spacing w:before="0" w:after="0" w:line="264" w:lineRule="auto"/>
            </w:pPr>
            <w:r>
              <w:rPr>
                <w:rFonts w:ascii="Arial" w:hAnsi="Arial" w:cs="Arial" w:eastAsia="Arial"/>
                <w:color w:val="0E1E3A"/>
                <w:sz w:val="17"/>
                <w:szCs w:val="17"/>
                <w:rtl/>
              </w:rPr>
              <w:t>10.77</w:t>
            </w:r>
          </w:p>
        </w:tc>
        <w:tc>
          <w:tcPr>
            <w:tcW w:type="dxa" w:w="2494"/>
          </w:tcPr>
          <w:p>
            <w:pPr>
              <w:bidi w:val="1"/>
              <w:spacing w:before="0" w:after="0" w:line="264" w:lineRule="auto"/>
            </w:pPr>
            <w:r>
              <w:rPr>
                <w:rFonts w:ascii="Arial" w:hAnsi="Arial" w:cs="Arial" w:eastAsia="Arial"/>
                <w:color w:val="0E1E3A"/>
                <w:sz w:val="17"/>
                <w:szCs w:val="17"/>
                <w:rtl/>
              </w:rPr>
              <w:t>10.70</w:t>
            </w:r>
          </w:p>
        </w:tc>
        <w:tc>
          <w:tcPr>
            <w:tcW w:type="dxa" w:w="2494"/>
          </w:tcPr>
          <w:p>
            <w:pPr>
              <w:bidi w:val="1"/>
              <w:spacing w:before="0" w:after="0" w:line="264" w:lineRule="auto"/>
            </w:pPr>
            <w:r>
              <w:rPr>
                <w:rFonts w:ascii="Arial" w:hAnsi="Arial" w:cs="Arial" w:eastAsia="Arial"/>
                <w:color w:val="0E1E3A"/>
                <w:sz w:val="17"/>
                <w:szCs w:val="17"/>
                <w:rtl/>
              </w:rPr>
              <w:t>8.83</w:t>
            </w:r>
          </w:p>
        </w:tc>
      </w:tr>
      <w:tr>
        <w:tc>
          <w:tcPr>
            <w:tcW w:type="dxa" w:w="2494"/>
          </w:tcPr>
          <w:p>
            <w:pPr>
              <w:bidi w:val="1"/>
              <w:spacing w:before="0" w:after="0" w:line="264" w:lineRule="auto"/>
            </w:pPr>
            <w:r>
              <w:rPr>
                <w:rFonts w:ascii="Arial" w:hAnsi="Arial" w:cs="Arial" w:eastAsia="Arial"/>
                <w:color w:val="0E1E3A"/>
                <w:sz w:val="17"/>
                <w:szCs w:val="17"/>
                <w:rtl/>
              </w:rPr>
              <w:t>مؤشر شارب</w:t>
            </w:r>
            <w:r>
              <w:rPr>
                <w:rFonts w:ascii="Arial" w:hAnsi="Arial" w:cs="Arial" w:eastAsia="Arial"/>
                <w:color w:val="0E1E3A"/>
                <w:sz w:val="17"/>
                <w:szCs w:val="17"/>
                <w:rtl/>
              </w:rPr>
              <w:t>4</w:t>
            </w:r>
          </w:p>
        </w:tc>
        <w:tc>
          <w:tcPr>
            <w:tcW w:type="dxa" w:w="2494"/>
          </w:tcPr>
          <w:p>
            <w:pPr>
              <w:bidi w:val="1"/>
              <w:spacing w:before="0" w:after="0" w:line="264" w:lineRule="auto"/>
            </w:pPr>
            <w:r>
              <w:rPr>
                <w:rFonts w:ascii="Arial" w:hAnsi="Arial" w:cs="Arial" w:eastAsia="Arial"/>
                <w:color w:val="0E1E3A"/>
                <w:sz w:val="17"/>
                <w:szCs w:val="17"/>
                <w:rtl/>
              </w:rPr>
              <w:t>-4.66</w:t>
            </w:r>
          </w:p>
        </w:tc>
        <w:tc>
          <w:tcPr>
            <w:tcW w:type="dxa" w:w="2494"/>
          </w:tcPr>
          <w:p>
            <w:pPr>
              <w:bidi w:val="1"/>
              <w:spacing w:before="0" w:after="0" w:line="264" w:lineRule="auto"/>
            </w:pPr>
            <w:r>
              <w:rPr>
                <w:rFonts w:ascii="Arial" w:hAnsi="Arial" w:cs="Arial" w:eastAsia="Arial"/>
                <w:color w:val="0E1E3A"/>
                <w:sz w:val="17"/>
                <w:szCs w:val="17"/>
                <w:rtl/>
              </w:rPr>
              <w:t>-2.92</w:t>
            </w:r>
          </w:p>
        </w:tc>
        <w:tc>
          <w:tcPr>
            <w:tcW w:type="dxa" w:w="2494"/>
          </w:tcPr>
          <w:p>
            <w:pPr>
              <w:bidi w:val="1"/>
              <w:spacing w:before="0" w:after="0" w:line="264" w:lineRule="auto"/>
            </w:pPr>
            <w:r>
              <w:rPr>
                <w:rFonts w:ascii="Arial" w:hAnsi="Arial" w:cs="Arial" w:eastAsia="Arial"/>
                <w:color w:val="0E1E3A"/>
                <w:sz w:val="17"/>
                <w:szCs w:val="17"/>
                <w:rtl/>
              </w:rPr>
              <w:t>-2.29</w:t>
            </w:r>
          </w:p>
        </w:tc>
      </w:tr>
      <w:tr>
        <w:tc>
          <w:tcPr>
            <w:tcW w:type="dxa" w:w="2494"/>
          </w:tcPr>
          <w:p>
            <w:pPr>
              <w:bidi w:val="1"/>
              <w:spacing w:before="0" w:after="0" w:line="264" w:lineRule="auto"/>
            </w:pPr>
            <w:r>
              <w:rPr>
                <w:rFonts w:ascii="Arial" w:hAnsi="Arial" w:cs="Arial" w:eastAsia="Arial"/>
                <w:color w:val="0E1E3A"/>
                <w:sz w:val="17"/>
                <w:szCs w:val="17"/>
                <w:rtl/>
              </w:rPr>
              <w:t>خطأ التتبع</w:t>
            </w:r>
            <w:r>
              <w:rPr>
                <w:rFonts w:ascii="Arial" w:hAnsi="Arial" w:cs="Arial" w:eastAsia="Arial"/>
                <w:color w:val="0E1E3A"/>
                <w:sz w:val="17"/>
                <w:szCs w:val="17"/>
                <w:rtl/>
              </w:rPr>
              <w:t>5</w:t>
            </w:r>
          </w:p>
        </w:tc>
        <w:tc>
          <w:tcPr>
            <w:tcW w:type="dxa" w:w="2494"/>
          </w:tcPr>
          <w:p>
            <w:pPr>
              <w:bidi w:val="1"/>
              <w:spacing w:before="0" w:after="0" w:line="264" w:lineRule="auto"/>
            </w:pPr>
            <w:r>
              <w:rPr>
                <w:rFonts w:ascii="Arial" w:hAnsi="Arial" w:cs="Arial" w:eastAsia="Arial"/>
                <w:color w:val="0E1E3A"/>
                <w:sz w:val="17"/>
                <w:szCs w:val="17"/>
                <w:rtl/>
              </w:rPr>
              <w:t>14.37</w:t>
            </w:r>
          </w:p>
        </w:tc>
        <w:tc>
          <w:tcPr>
            <w:tcW w:type="dxa" w:w="2494"/>
          </w:tcPr>
          <w:p>
            <w:pPr>
              <w:bidi w:val="1"/>
              <w:spacing w:before="0" w:after="0" w:line="264" w:lineRule="auto"/>
            </w:pPr>
            <w:r>
              <w:rPr>
                <w:rFonts w:ascii="Arial" w:hAnsi="Arial" w:cs="Arial" w:eastAsia="Arial"/>
                <w:color w:val="0E1E3A"/>
                <w:sz w:val="17"/>
                <w:szCs w:val="17"/>
                <w:rtl/>
              </w:rPr>
              <w:t>12.81</w:t>
            </w:r>
          </w:p>
        </w:tc>
        <w:tc>
          <w:tcPr>
            <w:tcW w:type="dxa" w:w="2494"/>
          </w:tcPr>
          <w:p>
            <w:pPr>
              <w:bidi w:val="1"/>
              <w:spacing w:before="0" w:after="0" w:line="264" w:lineRule="auto"/>
            </w:pPr>
            <w:r>
              <w:rPr>
                <w:rFonts w:ascii="Arial" w:hAnsi="Arial" w:cs="Arial" w:eastAsia="Arial"/>
                <w:color w:val="0E1E3A"/>
                <w:sz w:val="17"/>
                <w:szCs w:val="17"/>
                <w:rtl/>
              </w:rPr>
              <w:t>10.16</w:t>
            </w:r>
          </w:p>
        </w:tc>
      </w:tr>
      <w:tr>
        <w:tc>
          <w:tcPr>
            <w:tcW w:type="dxa" w:w="2494"/>
          </w:tcPr>
          <w:p>
            <w:pPr>
              <w:bidi w:val="1"/>
              <w:spacing w:before="0" w:after="0" w:line="264" w:lineRule="auto"/>
            </w:pPr>
            <w:r>
              <w:rPr>
                <w:rFonts w:ascii="Arial" w:hAnsi="Arial" w:cs="Arial" w:eastAsia="Arial"/>
                <w:color w:val="0E1E3A"/>
                <w:sz w:val="17"/>
                <w:szCs w:val="17"/>
                <w:rtl/>
              </w:rPr>
              <w:t>بيتا</w:t>
            </w:r>
            <w:r>
              <w:rPr>
                <w:rFonts w:ascii="Arial" w:hAnsi="Arial" w:cs="Arial" w:eastAsia="Arial"/>
                <w:color w:val="0E1E3A"/>
                <w:sz w:val="17"/>
                <w:szCs w:val="17"/>
                <w:rtl/>
              </w:rPr>
              <w:t>6</w:t>
            </w:r>
          </w:p>
        </w:tc>
        <w:tc>
          <w:tcPr>
            <w:tcW w:type="dxa" w:w="2494"/>
          </w:tcPr>
          <w:p>
            <w:pPr>
              <w:bidi w:val="1"/>
              <w:spacing w:before="0" w:after="0" w:line="264" w:lineRule="auto"/>
            </w:pPr>
            <w:r>
              <w:rPr>
                <w:rFonts w:ascii="Arial" w:hAnsi="Arial" w:cs="Arial" w:eastAsia="Arial"/>
                <w:color w:val="0E1E3A"/>
                <w:sz w:val="17"/>
                <w:szCs w:val="17"/>
                <w:rtl/>
              </w:rPr>
              <w:t>-0.65</w:t>
            </w:r>
          </w:p>
        </w:tc>
        <w:tc>
          <w:tcPr>
            <w:tcW w:type="dxa" w:w="2494"/>
          </w:tcPr>
          <w:p>
            <w:pPr>
              <w:bidi w:val="1"/>
              <w:spacing w:before="0" w:after="0" w:line="264" w:lineRule="auto"/>
            </w:pPr>
            <w:r>
              <w:rPr>
                <w:rFonts w:ascii="Arial" w:hAnsi="Arial" w:cs="Arial" w:eastAsia="Arial"/>
                <w:color w:val="0E1E3A"/>
                <w:sz w:val="17"/>
                <w:szCs w:val="17"/>
                <w:rtl/>
              </w:rPr>
              <w:t>-0.60</w:t>
            </w:r>
          </w:p>
        </w:tc>
        <w:tc>
          <w:tcPr>
            <w:tcW w:type="dxa" w:w="2494"/>
          </w:tcPr>
          <w:p>
            <w:pPr>
              <w:bidi w:val="1"/>
              <w:spacing w:before="0" w:after="0" w:line="264" w:lineRule="auto"/>
            </w:pPr>
            <w:r>
              <w:rPr>
                <w:rFonts w:ascii="Arial" w:hAnsi="Arial" w:cs="Arial" w:eastAsia="Arial"/>
                <w:color w:val="0E1E3A"/>
                <w:sz w:val="17"/>
                <w:szCs w:val="17"/>
                <w:rtl/>
              </w:rPr>
              <w:t>-0.61</w:t>
            </w:r>
          </w:p>
        </w:tc>
      </w:tr>
      <w:tr>
        <w:tc>
          <w:tcPr>
            <w:tcW w:type="dxa" w:w="2494"/>
          </w:tcPr>
          <w:p>
            <w:pPr>
              <w:bidi w:val="1"/>
              <w:spacing w:before="0" w:after="0" w:line="264" w:lineRule="auto"/>
            </w:pPr>
            <w:r>
              <w:rPr>
                <w:rFonts w:ascii="Arial" w:hAnsi="Arial" w:cs="Arial" w:eastAsia="Arial"/>
                <w:color w:val="0E1E3A"/>
                <w:sz w:val="17"/>
                <w:szCs w:val="17"/>
                <w:rtl/>
              </w:rPr>
              <w:t>ألفا</w:t>
            </w:r>
            <w:r>
              <w:rPr>
                <w:rFonts w:ascii="Arial" w:hAnsi="Arial" w:cs="Arial" w:eastAsia="Arial"/>
                <w:color w:val="0E1E3A"/>
                <w:sz w:val="17"/>
                <w:szCs w:val="17"/>
                <w:rtl/>
              </w:rPr>
              <w:t>7</w:t>
            </w:r>
          </w:p>
        </w:tc>
        <w:tc>
          <w:tcPr>
            <w:tcW w:type="dxa" w:w="2494"/>
          </w:tcPr>
          <w:p>
            <w:pPr>
              <w:bidi w:val="1"/>
              <w:spacing w:before="0" w:after="0" w:line="264" w:lineRule="auto"/>
            </w:pPr>
            <w:r>
              <w:rPr>
                <w:rFonts w:ascii="Arial" w:hAnsi="Arial" w:cs="Arial" w:eastAsia="Arial"/>
                <w:color w:val="0E1E3A"/>
                <w:sz w:val="17"/>
                <w:szCs w:val="17"/>
                <w:rtl/>
              </w:rPr>
              <w:t>-0.71</w:t>
            </w:r>
          </w:p>
        </w:tc>
        <w:tc>
          <w:tcPr>
            <w:tcW w:type="dxa" w:w="2494"/>
          </w:tcPr>
          <w:p>
            <w:pPr>
              <w:bidi w:val="1"/>
              <w:spacing w:before="0" w:after="0" w:line="264" w:lineRule="auto"/>
            </w:pPr>
            <w:r>
              <w:rPr>
                <w:rFonts w:ascii="Arial" w:hAnsi="Arial" w:cs="Arial" w:eastAsia="Arial"/>
                <w:color w:val="0E1E3A"/>
                <w:sz w:val="17"/>
                <w:szCs w:val="17"/>
                <w:rtl/>
              </w:rPr>
              <w:t>-0.41</w:t>
            </w:r>
          </w:p>
        </w:tc>
        <w:tc>
          <w:tcPr>
            <w:tcW w:type="dxa" w:w="2494"/>
          </w:tcPr>
          <w:p>
            <w:pPr>
              <w:bidi w:val="1"/>
              <w:spacing w:before="0" w:after="0" w:line="264" w:lineRule="auto"/>
            </w:pPr>
            <w:r>
              <w:rPr>
                <w:rFonts w:ascii="Arial" w:hAnsi="Arial" w:cs="Arial" w:eastAsia="Arial"/>
                <w:color w:val="0E1E3A"/>
                <w:sz w:val="17"/>
                <w:szCs w:val="17"/>
                <w:rtl/>
              </w:rPr>
              <w:t>-0.26</w:t>
            </w:r>
          </w:p>
        </w:tc>
      </w:tr>
      <w:tr>
        <w:tc>
          <w:tcPr>
            <w:tcW w:type="dxa" w:w="2494"/>
          </w:tcPr>
          <w:p>
            <w:pPr>
              <w:bidi w:val="1"/>
              <w:spacing w:before="0" w:after="0" w:line="264" w:lineRule="auto"/>
            </w:pPr>
            <w:r>
              <w:rPr>
                <w:rFonts w:ascii="Arial" w:hAnsi="Arial" w:cs="Arial" w:eastAsia="Arial"/>
                <w:color w:val="0E1E3A"/>
                <w:sz w:val="17"/>
                <w:szCs w:val="17"/>
                <w:rtl/>
              </w:rPr>
              <w:t>مؤشر المعلومات</w:t>
            </w:r>
            <w:r>
              <w:rPr>
                <w:rFonts w:ascii="Arial" w:hAnsi="Arial" w:cs="Arial" w:eastAsia="Arial"/>
                <w:color w:val="0E1E3A"/>
                <w:sz w:val="17"/>
                <w:szCs w:val="17"/>
                <w:rtl/>
              </w:rPr>
              <w:t>8</w:t>
            </w:r>
          </w:p>
        </w:tc>
        <w:tc>
          <w:tcPr>
            <w:tcW w:type="dxa" w:w="2494"/>
          </w:tcPr>
          <w:p>
            <w:pPr>
              <w:bidi w:val="1"/>
              <w:spacing w:before="0" w:after="0" w:line="264" w:lineRule="auto"/>
            </w:pPr>
            <w:r>
              <w:rPr>
                <w:rFonts w:ascii="Arial" w:hAnsi="Arial" w:cs="Arial" w:eastAsia="Arial"/>
                <w:color w:val="0E1E3A"/>
                <w:sz w:val="17"/>
                <w:szCs w:val="17"/>
                <w:rtl/>
              </w:rPr>
              <w:t>-4.97</w:t>
            </w:r>
          </w:p>
        </w:tc>
        <w:tc>
          <w:tcPr>
            <w:tcW w:type="dxa" w:w="2494"/>
          </w:tcPr>
          <w:p>
            <w:pPr>
              <w:bidi w:val="1"/>
              <w:spacing w:before="0" w:after="0" w:line="264" w:lineRule="auto"/>
            </w:pPr>
            <w:r>
              <w:rPr>
                <w:rFonts w:ascii="Arial" w:hAnsi="Arial" w:cs="Arial" w:eastAsia="Arial"/>
                <w:color w:val="0E1E3A"/>
                <w:sz w:val="17"/>
                <w:szCs w:val="17"/>
                <w:rtl/>
              </w:rPr>
              <w:t>-3.18</w:t>
            </w:r>
          </w:p>
        </w:tc>
        <w:tc>
          <w:tcPr>
            <w:tcW w:type="dxa" w:w="2494"/>
          </w:tcPr>
          <w:p>
            <w:pPr>
              <w:bidi w:val="1"/>
              <w:spacing w:before="0" w:after="0" w:line="264" w:lineRule="auto"/>
            </w:pPr>
            <w:r>
              <w:rPr>
                <w:rFonts w:ascii="Arial" w:hAnsi="Arial" w:cs="Arial" w:eastAsia="Arial"/>
                <w:color w:val="0E1E3A"/>
                <w:sz w:val="17"/>
                <w:szCs w:val="17"/>
                <w:rtl/>
              </w:rPr>
              <w:t>-2.56</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عن الفترة من 01 أبريل 2022م إلى 30 يونيو 2022م.</w:t>
      </w:r>
      <w:r>
        <w:br/>
      </w:r>
      <w:r>
        <w:rPr>
          <w:rFonts w:ascii="Arial" w:hAnsi="Arial" w:cs="Arial" w:eastAsia="Arial"/>
          <w:color w:val="5A6478"/>
          <w:sz w:val="17"/>
          <w:szCs w:val="17"/>
          <w:rtl/>
        </w:rPr>
        <w:t>2. عن الفترة من 01 يناير 2022م إلى 30 يونيو 2022م.</w:t>
      </w:r>
      <w:r>
        <w:br/>
      </w:r>
      <w:r>
        <w:rPr>
          <w:rFonts w:ascii="Arial" w:hAnsi="Arial" w:cs="Arial" w:eastAsia="Arial"/>
          <w:color w:val="5A6478"/>
          <w:sz w:val="17"/>
          <w:szCs w:val="17"/>
          <w:rtl/>
        </w:rPr>
        <w:t>3. عن الفترة من 01 يوليو 2021م إلى 30 يونيو 2022م.</w:t>
      </w:r>
      <w:r>
        <w:br/>
      </w:r>
      <w:r>
        <w:rPr>
          <w:rFonts w:ascii="Arial" w:hAnsi="Arial" w:cs="Arial" w:eastAsia="Arial"/>
          <w:color w:val="5A6478"/>
          <w:sz w:val="17"/>
          <w:szCs w:val="17"/>
          <w:rtl/>
        </w:rPr>
        <w:t>4. الانحراف المعياري هو مقياس للمخاطر ويتم حسابه على أنه التذبذب بين العوائد على مدى فترة زمنية. كلما انخفض التقلب، كانت مجموعة العوائد أكثر تجانسًا.</w:t>
      </w:r>
      <w:r>
        <w:br/>
      </w:r>
      <w:r>
        <w:rPr>
          <w:rFonts w:ascii="Arial" w:hAnsi="Arial" w:cs="Arial" w:eastAsia="Arial"/>
          <w:color w:val="5A6478"/>
          <w:sz w:val="17"/>
          <w:szCs w:val="17"/>
          <w:rtl/>
        </w:rPr>
        <w:t>5.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أداءه حسب المخاطر أفضل.</w:t>
      </w:r>
      <w:r>
        <w:br/>
      </w:r>
      <w:r>
        <w:rPr>
          <w:rFonts w:ascii="Arial" w:hAnsi="Arial" w:cs="Arial" w:eastAsia="Arial"/>
          <w:color w:val="5A6478"/>
          <w:sz w:val="17"/>
          <w:szCs w:val="17"/>
          <w:rtl/>
        </w:rPr>
        <w:t>6. خطأ التتبع هو مقياس للمخاطر ويتم حسابه على أنه الانحراف المعياري بين عائد مدير الصندوق وعائد المؤشر. كلما انخفض خطأ التتبع، كلما انحرف مدير الصندوق عن المؤشر.</w:t>
      </w:r>
      <w:r>
        <w:br/>
      </w:r>
      <w:r>
        <w:rPr>
          <w:rFonts w:ascii="Arial" w:hAnsi="Arial" w:cs="Arial" w:eastAsia="Arial"/>
          <w:color w:val="5A6478"/>
          <w:sz w:val="17"/>
          <w:szCs w:val="17"/>
          <w:rtl/>
        </w:rPr>
        <w:t>7.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8. ألفا يقيس أي تفوق حققه أداء الصندوق مقارنةً بأداء المؤشر المرتبط به.</w:t>
      </w:r>
      <w:r>
        <w:br/>
      </w:r>
      <w:r>
        <w:rPr>
          <w:rFonts w:ascii="Arial" w:hAnsi="Arial" w:cs="Arial" w:eastAsia="Arial"/>
          <w:color w:val="5A6478"/>
          <w:sz w:val="17"/>
          <w:szCs w:val="17"/>
          <w:rtl/>
        </w:rPr>
        <w:t>9. مؤشر المعلومات هو عبارة عن مقياس أداء معدل المخاطر ويتم حسابه على أنه العائد النشط لمدير الصندوق مقسومًا على خطأ التتبع الخاص به. كلما ارتفع معدل المعلومات، كلما ازدادت قدرة مدير الصندوق على تحقيق عوائد زائدة لكل وحدة من المخاطر الزائدة. تم احتساب معايير الأداء والمخاطر بناءً على أسعار تداول للوحدة في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42"/>
            <wp:cNvGraphicFramePr>
              <a:graphicFrameLocks noChangeAspect="1"/>
            </wp:cNvGraphicFramePr>
            <a:graphic>
              <a:graphicData uri="http://schemas.openxmlformats.org/drawingml/2006/picture">
                <pic:pic>
                  <pic:nvPicPr>
                    <pic:cNvPr id="0" name="ico_c788ceab6c6867ef93d8dd6b26beef99.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 تغيرات أساسية أو غير أساسية تؤثر على عمل الصندوق</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استثمر مدير الصندوق </w:t>
      </w:r>
      <w:r>
        <w:rPr>
          <w:rFonts w:ascii="Arial" w:hAnsi="Arial" w:cs="Arial" w:eastAsia="Arial"/>
          <w:color w:val="0E1E3A"/>
          <w:sz w:val="20"/>
          <w:szCs w:val="20"/>
        </w:rPr>
        <w:t>‎34.4%‎</w:t>
      </w:r>
      <w:r>
        <w:rPr>
          <w:rFonts w:ascii="Arial" w:hAnsi="Arial" w:cs="Arial" w:eastAsia="Arial"/>
          <w:color w:val="0E1E3A"/>
          <w:sz w:val="20"/>
          <w:szCs w:val="20"/>
          <w:rtl/>
        </w:rPr>
        <w:t xml:space="preserve"> من أصول الصندوق في صفقات إجارة تشمل عدة أنواع من المعدات والشركات، غالبيتها في الولايات المتحدة الأمريكية. ومن المتوقع أن تحقق محفظة الإجارة معدل عائد إجمالي يقدر بنسبة من </w:t>
      </w:r>
      <w:r>
        <w:rPr>
          <w:rFonts w:ascii="Arial" w:hAnsi="Arial" w:cs="Arial" w:eastAsia="Arial"/>
          <w:color w:val="0E1E3A"/>
          <w:sz w:val="20"/>
          <w:szCs w:val="20"/>
        </w:rPr>
        <w:t>‎6.0%‎</w:t>
      </w:r>
      <w:r>
        <w:rPr>
          <w:rFonts w:ascii="Arial" w:hAnsi="Arial" w:cs="Arial" w:eastAsia="Arial"/>
          <w:color w:val="0E1E3A"/>
          <w:sz w:val="20"/>
          <w:szCs w:val="20"/>
          <w:rtl/>
        </w:rPr>
        <w:t xml:space="preserve"> إلى </w:t>
      </w:r>
      <w:r>
        <w:rPr>
          <w:rFonts w:ascii="Arial" w:hAnsi="Arial" w:cs="Arial" w:eastAsia="Arial"/>
          <w:color w:val="0E1E3A"/>
          <w:sz w:val="20"/>
          <w:szCs w:val="20"/>
        </w:rPr>
        <w:t>‎6.5%‎</w:t>
      </w:r>
      <w:r>
        <w:rPr>
          <w:rFonts w:ascii="Arial" w:hAnsi="Arial" w:cs="Arial" w:eastAsia="Arial"/>
          <w:color w:val="0E1E3A"/>
          <w:sz w:val="20"/>
          <w:szCs w:val="20"/>
          <w:rtl/>
        </w:rPr>
        <w:t xml:space="preserve"> سنويًا على مدى السنوات الخمس القادمة بإذن الله.</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لأغراض تنويع استثمارات الصندوق، استثمر مدير الصندوق </w:t>
      </w:r>
      <w:r>
        <w:rPr>
          <w:rFonts w:ascii="Arial" w:hAnsi="Arial" w:cs="Arial" w:eastAsia="Arial"/>
          <w:color w:val="0E1E3A"/>
          <w:sz w:val="20"/>
          <w:szCs w:val="20"/>
        </w:rPr>
        <w:t>‎23.8%‎</w:t>
      </w:r>
      <w:r>
        <w:rPr>
          <w:rFonts w:ascii="Arial" w:hAnsi="Arial" w:cs="Arial" w:eastAsia="Arial"/>
          <w:color w:val="0E1E3A"/>
          <w:sz w:val="20"/>
          <w:szCs w:val="20"/>
          <w:rtl/>
        </w:rPr>
        <w:t xml:space="preserve"> من أصول الصندوق في صناديق دخل، تتراوح ما بين تمويل خاص وتمويل تجاري وتسنيد. ويتوقع أن تحقق عائدًا سنويًا يتراوح في المتوسط بين </w:t>
      </w:r>
      <w:r>
        <w:rPr>
          <w:rFonts w:ascii="Arial" w:hAnsi="Arial" w:cs="Arial" w:eastAsia="Arial"/>
          <w:color w:val="0E1E3A"/>
          <w:sz w:val="20"/>
          <w:szCs w:val="20"/>
        </w:rPr>
        <w:t>‎6%‎</w:t>
      </w:r>
      <w:r>
        <w:rPr>
          <w:rFonts w:ascii="Arial" w:hAnsi="Arial" w:cs="Arial" w:eastAsia="Arial"/>
          <w:color w:val="0E1E3A"/>
          <w:sz w:val="20"/>
          <w:szCs w:val="20"/>
          <w:rtl/>
        </w:rPr>
        <w:t xml:space="preserve"> إلى </w:t>
      </w:r>
      <w:r>
        <w:rPr>
          <w:rFonts w:ascii="Arial" w:hAnsi="Arial" w:cs="Arial" w:eastAsia="Arial"/>
          <w:color w:val="0E1E3A"/>
          <w:sz w:val="20"/>
          <w:szCs w:val="20"/>
        </w:rPr>
        <w:t>‎7%‎</w:t>
      </w:r>
      <w:r>
        <w:rPr>
          <w:rFonts w:ascii="Arial" w:hAnsi="Arial" w:cs="Arial" w:eastAsia="Arial"/>
          <w:color w:val="0E1E3A"/>
          <w:sz w:val="20"/>
          <w:szCs w:val="20"/>
          <w:rtl/>
        </w:rPr>
        <w:t>.</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استثمر مدير الصندوق </w:t>
      </w:r>
      <w:r>
        <w:rPr>
          <w:rFonts w:ascii="Arial" w:hAnsi="Arial" w:cs="Arial" w:eastAsia="Arial"/>
          <w:color w:val="0E1E3A"/>
          <w:sz w:val="20"/>
          <w:szCs w:val="20"/>
        </w:rPr>
        <w:t>‎20.4%‎</w:t>
      </w:r>
      <w:r>
        <w:rPr>
          <w:rFonts w:ascii="Arial" w:hAnsi="Arial" w:cs="Arial" w:eastAsia="Arial"/>
          <w:color w:val="0E1E3A"/>
          <w:sz w:val="20"/>
          <w:szCs w:val="20"/>
          <w:rtl/>
        </w:rPr>
        <w:t xml:space="preserve"> من أصول الصندوق في صفقات تمويل تجاري مع عدة أطراف مقابلة وفي عدة قطاعات، وكانت غالبيتها في القارة الأوروبية. وجميع الصفقات المبرمة قصيرة الأجل بطبيعتها، وتحقق عوائدًا - بإذن الله -تتراوح ما بين </w:t>
      </w:r>
      <w:r>
        <w:rPr>
          <w:rFonts w:ascii="Arial" w:hAnsi="Arial" w:cs="Arial" w:eastAsia="Arial"/>
          <w:color w:val="0E1E3A"/>
          <w:sz w:val="20"/>
          <w:szCs w:val="20"/>
        </w:rPr>
        <w:t>‎6.0%‎</w:t>
      </w:r>
      <w:r>
        <w:rPr>
          <w:rFonts w:ascii="Arial" w:hAnsi="Arial" w:cs="Arial" w:eastAsia="Arial"/>
          <w:color w:val="0E1E3A"/>
          <w:sz w:val="20"/>
          <w:szCs w:val="20"/>
          <w:rtl/>
        </w:rPr>
        <w:t xml:space="preserve"> إلى </w:t>
      </w:r>
      <w:r>
        <w:rPr>
          <w:rFonts w:ascii="Arial" w:hAnsi="Arial" w:cs="Arial" w:eastAsia="Arial"/>
          <w:color w:val="0E1E3A"/>
          <w:sz w:val="20"/>
          <w:szCs w:val="20"/>
        </w:rPr>
        <w:t>‎7.0%‎</w:t>
      </w:r>
      <w:r>
        <w:rPr>
          <w:rFonts w:ascii="Arial" w:hAnsi="Arial" w:cs="Arial" w:eastAsia="Arial"/>
          <w:color w:val="0E1E3A"/>
          <w:sz w:val="20"/>
          <w:szCs w:val="20"/>
          <w:rtl/>
        </w:rPr>
        <w:t xml:space="preserve"> سنويًا.</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استثمر مدير الصندوق </w:t>
      </w:r>
      <w:r>
        <w:rPr>
          <w:rFonts w:ascii="Arial" w:hAnsi="Arial" w:cs="Arial" w:eastAsia="Arial"/>
          <w:color w:val="0E1E3A"/>
          <w:sz w:val="20"/>
          <w:szCs w:val="20"/>
        </w:rPr>
        <w:t>‎12.2%‎</w:t>
      </w:r>
      <w:r>
        <w:rPr>
          <w:rFonts w:ascii="Arial" w:hAnsi="Arial" w:cs="Arial" w:eastAsia="Arial"/>
          <w:color w:val="0E1E3A"/>
          <w:sz w:val="20"/>
          <w:szCs w:val="20"/>
          <w:rtl/>
        </w:rPr>
        <w:t xml:space="preserve"> من أصول الصندوق في صكوك ذات درجات تصنيف ائتمانية مختلفة، تشمل صكوكًا سيادية وشبه سيادية وصكوك شركات. وقد حصل مدير الصندوق على تسهيلات ائتمانية تدعم زيادة عوائد المحفظة إلى أكثر من </w:t>
      </w:r>
      <w:r>
        <w:rPr>
          <w:rFonts w:ascii="Arial" w:hAnsi="Arial" w:cs="Arial" w:eastAsia="Arial"/>
          <w:color w:val="0E1E3A"/>
          <w:sz w:val="20"/>
          <w:szCs w:val="20"/>
        </w:rPr>
        <w:t>‎4.5%‎</w:t>
      </w:r>
      <w:r>
        <w:rPr>
          <w:rFonts w:ascii="Arial" w:hAnsi="Arial" w:cs="Arial" w:eastAsia="Arial"/>
          <w:color w:val="0E1E3A"/>
          <w:sz w:val="20"/>
          <w:szCs w:val="20"/>
          <w:rtl/>
        </w:rPr>
        <w:t xml:space="preserve"> سنويًا، مع المحافظة على وسط مرجّح لتصنيف المحفظة بدرجة استثمارية.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قطاع الإجارة والتمويل التجاري والصكوك</w:t>
      </w:r>
    </w:p>
    <w:p>
      <w:pPr>
        <w:pStyle w:val="Heading3"/>
        <w:keepNext/>
        <w:bidi w:val="1"/>
        <w:spacing w:before="160" w:after="100" w:line="300" w:lineRule="auto"/>
      </w:pPr>
      <w:r>
        <w:rPr>
          <w:rFonts w:ascii="Arial" w:hAnsi="Arial" w:cs="Arial" w:eastAsia="Arial"/>
          <w:b/>
          <w:bCs/>
          <w:color w:val="12284B"/>
          <w:sz w:val="22"/>
          <w:szCs w:val="22"/>
          <w:rtl/>
        </w:rPr>
        <w:t>نظرة على قطاع الإجارة</w:t>
      </w:r>
    </w:p>
    <w:p>
      <w:pPr>
        <w:bidi w:val="1"/>
        <w:spacing w:before="0" w:after="80" w:line="312" w:lineRule="auto"/>
      </w:pPr>
      <w:r>
        <w:rPr>
          <w:rFonts w:ascii="Arial" w:hAnsi="Arial" w:cs="Arial" w:eastAsia="Arial"/>
          <w:color w:val="0E1E3A"/>
          <w:sz w:val="20"/>
          <w:szCs w:val="20"/>
          <w:rtl/>
        </w:rPr>
        <w:t xml:space="preserve">أدى ارتفاع أسعار الفائدة واستمرار جائحة كورونا والاختناقات الحادة في سلاسل الإمداد والتموين إلى تزايد حجم الطلب في قطاع تمويل المعدات. وقد سجل مؤشر الثقة الشهري الذي تصدره مؤسسة تأجير وتمويل المعدات 50.9 نقطة في يونيو، بتغيير طفيف عما كان عليه في شهر مايو حيث سجل 49.6 نقطة. والجدير بالذكر أن أي ارتفاع للمؤشر فوق مستوى 50 نقطة يعني أن التوقعات المستقبلية للأعمال تعتبر إيجابية. ومن المتوقع نمو الاستثمارات في المعدات والبرمجيات في الولايات المتحدة الأمريكية بمعدل </w:t>
      </w:r>
      <w:r>
        <w:rPr>
          <w:rFonts w:ascii="Arial" w:hAnsi="Arial" w:cs="Arial" w:eastAsia="Arial"/>
          <w:color w:val="0E1E3A"/>
          <w:sz w:val="20"/>
          <w:szCs w:val="20"/>
        </w:rPr>
        <w:t>‎4.2%‎</w:t>
      </w:r>
      <w:r>
        <w:rPr>
          <w:rFonts w:ascii="Arial" w:hAnsi="Arial" w:cs="Arial" w:eastAsia="Arial"/>
          <w:color w:val="0E1E3A"/>
          <w:sz w:val="20"/>
          <w:szCs w:val="20"/>
          <w:rtl/>
        </w:rPr>
        <w:t xml:space="preserve"> في العام 2022، غير أنه من المتوقع أيضًا أن تتباطأ وتيرة الاستثمارات قبل أن تشهد تحسنًا بسيطًا خلال النصف الثاني من السنة. ويدرك مدير الصندوق تمامًا أن الزيادة المستمرة في أسعار الفائدة سوف تعزز القدرة المالية لشركات تمويل المعدات في ظل تكيّف المقترضين مع أسعار الفوائد الجديدة والعودة إلى العمل بهوامش أرباح جديدة في الأسواق.</w:t>
      </w:r>
    </w:p>
    <w:p>
      <w:pPr>
        <w:pStyle w:val="Heading3"/>
        <w:keepNext/>
        <w:bidi w:val="1"/>
        <w:spacing w:before="160" w:after="100" w:line="300" w:lineRule="auto"/>
      </w:pPr>
      <w:r>
        <w:rPr>
          <w:rFonts w:ascii="Arial" w:hAnsi="Arial" w:cs="Arial" w:eastAsia="Arial"/>
          <w:b/>
          <w:bCs/>
          <w:color w:val="12284B"/>
          <w:sz w:val="22"/>
          <w:szCs w:val="22"/>
          <w:rtl/>
        </w:rPr>
        <w:t>نظرة على التمويل التجاري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تسبب ارتفاع أسعار السلع نتيجةً لتداعيات الحرب الروسية الأوكرانية والتدابير المتخذة لاحتواء انتشار جائحة كوفيد-19 في شرق آسيا، في تفاقم الضغوط على أسعار السلع المتبادلة وسلاسل الإمداد والتموين المثقلة بالأعباء.</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ووفقًا لما أعلنته فيتش رايتنغز Fitch Ratings، يبدو أن أكبر بنوك التمويل التجاري للسلع في أوروبا، ومنها بنك سوسيته جنرال، وآي أن جي/ ورابوبنك، وكريديه أغريكول، وغروب بي سي بي إي، ويو بي أس، تعمل على زيادة إقراضها لشركات تجارة السلع لتلبية احتياجاتها غير المسبوقة إلى السيولة النقدية. وأضافت فيتش رايتنغز أن ارتفاع أسعار السلع إلى مستويات قياسية غير مسبوقة قد أدى إلى زيادة الهوامش التي تشترطها من أطراف المقاصة المركزية المقابلة، وبالتالي ارتفاع حجم طلب شركات تجارة السلع على التمويل.</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إلى جانب ذلك، أوردت أيضًا مجموعة بوسطن الاستشارية أن الارتفاع المفاجئ في أسعار معظم السلع الأساسية، والذي لم يقتصر فقط على النفط والغاز، بل شمل أيضًا على السلع الزراعية كالقمح، يتيح فرصةً للشركات في سوق التمويل التجاري لتحقيق إيرادات أكبر.</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ويرى مدير الصندوق أن الطلب الأكبر على التمويل سوف يتيح لشركات التمويل التجاري تحسين مستويات ربحيتها.</w:t>
      </w:r>
    </w:p>
    <w:p>
      <w:pPr>
        <w:pStyle w:val="Heading3"/>
        <w:keepNext/>
        <w:bidi w:val="1"/>
        <w:spacing w:before="160" w:after="100" w:line="300" w:lineRule="auto"/>
      </w:pPr>
      <w:r>
        <w:rPr>
          <w:rFonts w:ascii="Arial" w:hAnsi="Arial" w:cs="Arial" w:eastAsia="Arial"/>
          <w:b/>
          <w:bCs/>
          <w:color w:val="12284B"/>
          <w:sz w:val="22"/>
          <w:szCs w:val="22"/>
          <w:rtl/>
        </w:rPr>
        <w:t>نظرة على قطاع الصكوك</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حققت إصدارات الصكوك انطلاقةً أقوى في العام 2022 مستفيدةً من الإقبال الكبير الذي شهدته في العام 2021. ووفقًا لما أوردته ريفينيتيف Refinitiv، وصلت القيمة الإجمالية لإصدارات ا العالمية لصكوك في الربع الأول 2022 إلى 51.6 مليار دولار أمريكي، مقارنةً بما مجموعه 43.4 مليار دولار أمريكي في الربع الأول 2021.</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وتجدر الإشارة إلى أن الزيادة في إصدارات الصكوك في الربع الأول نتجت عن الصكوك التي أصدرتها كيانات سعودية، والتي تضاعف حجمها من 9.3 مليار دولار أمريكي في الربع الأول 2021 إلى 17.9 مليار دولار أمريكي في الربع الأول 2022، متجاوزةً بذلك للمرة الأولى حجم الصكوك التي أصدرتها ماليزيا، الدولة الرائدة في سوق الصكوك.</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يتوقع مدير الصندوق استمرار سوق الصكوك قويةً في المدى الطويل بفعل إصدارات الدول المستوردة الصافية للنفط. كما أن إصدارات الصكوك ذات القيم الكبيرة التي شارفت على الاستحقاق واسترتيجيات تنويع التمويل سوف تعزز أيضًا هذه الفئة من الأصول.</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سعر الوحدة المتداولة في السوق منذ بداية الصندوق *</w:t>
      </w:r>
    </w:p>
    <w:p>
      <w:pPr>
        <w:bidi w:val="1"/>
        <w:spacing w:before="0" w:after="80" w:line="240" w:lineRule="auto"/>
        <w:jc w:val="center"/>
      </w:pPr>
      <w:r>
        <w:drawing>
          <wp:inline xmlns:a="http://schemas.openxmlformats.org/drawingml/2006/main" xmlns:pic="http://schemas.openxmlformats.org/drawingml/2006/picture">
            <wp:extent cx="6336000" cy="2825514"/>
            <wp:docPr id="24" name="Picture 9045"/>
            <wp:cNvGraphicFramePr>
              <a:graphicFrameLocks noChangeAspect="1"/>
            </wp:cNvGraphicFramePr>
            <a:graphic>
              <a:graphicData uri="http://schemas.openxmlformats.org/drawingml/2006/picture">
                <pic:pic>
                  <pic:nvPicPr>
                    <pic:cNvPr id="0" name="x5.j.jpg"/>
                    <pic:cNvPicPr/>
                  </pic:nvPicPr>
                  <pic:blipFill>
                    <a:blip r:embed="rId23"/>
                    <a:stretch>
                      <a:fillRect/>
                    </a:stretch>
                  </pic:blipFill>
                  <pic:spPr>
                    <a:xfrm>
                      <a:off x="0" y="0"/>
                      <a:ext cx="6336000" cy="2825514"/>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الأسعار كما في 30 يونيو 2022م.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47"/>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المتداول — البيان الربع سنوي الربع الثاني 2022م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