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2"/>
            <wp:cNvGraphicFramePr/>
            <a:graphic>
              <a:graphicData uri="http://schemas.openxmlformats.org/drawingml/2006/picture">
                <pic:pic>
                  <pic:nvPicPr>
                    <pic:cNvPr id="9022" name="banner9022.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3"/>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10.0028</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583,481,643</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AMOUNT*</w:t>
            </w:r>
          </w:p>
        </w:tc>
        <w:tc>
          <w:tcPr>
            <w:tcW w:type="dxa" w:w="6860"/>
          </w:tcPr>
          <w:p>
            <w:pPr>
              <w:spacing w:before="0" w:after="0" w:line="276" w:lineRule="auto"/>
            </w:pPr>
            <w:r>
              <w:rPr>
                <w:rFonts w:ascii="Arial" w:hAnsi="Arial" w:cs="Arial" w:eastAsia="Arial"/>
                <w:b/>
                <w:bCs/>
                <w:color w:val="0E1E3A"/>
                <w:sz w:val="18"/>
                <w:szCs w:val="18"/>
              </w:rPr>
              <w:t>SAR 107,583,874</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PERCENTAGE TO FUND’S TOTAL ASSET VALUE*</w:t>
            </w:r>
          </w:p>
        </w:tc>
        <w:tc>
          <w:tcPr>
            <w:tcW w:type="dxa" w:w="6860"/>
          </w:tcPr>
          <w:p>
            <w:pPr>
              <w:spacing w:before="0" w:after="0" w:line="276" w:lineRule="auto"/>
            </w:pPr>
            <w:r>
              <w:rPr>
                <w:rFonts w:ascii="Arial" w:hAnsi="Arial" w:cs="Arial" w:eastAsia="Arial"/>
                <w:b/>
                <w:bCs/>
                <w:color w:val="0E1E3A"/>
                <w:sz w:val="18"/>
                <w:szCs w:val="18"/>
              </w:rPr>
              <w:t>18.44%</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OF THE END OF THE REPORTING QUARTER</w:t>
            </w:r>
          </w:p>
        </w:tc>
        <w:tc>
          <w:tcPr>
            <w:tcW w:type="dxa" w:w="6860"/>
          </w:tcPr>
          <w:p>
            <w:pPr>
              <w:spacing w:before="0" w:after="0" w:line="276" w:lineRule="auto"/>
            </w:pPr>
            <w:r>
              <w:rPr>
                <w:rFonts w:ascii="Arial" w:hAnsi="Arial" w:cs="Arial" w:eastAsia="Arial"/>
                <w:b/>
                <w:bCs/>
                <w:color w:val="0E1E3A"/>
                <w:sz w:val="18"/>
                <w:szCs w:val="18"/>
              </w:rPr>
              <w:t>22.75%</w:t>
            </w:r>
          </w:p>
        </w:tc>
      </w:tr>
      <w:tr>
        <w:tc>
          <w:tcPr>
            <w:tcW w:type="dxa" w:w="3118"/>
            <w:shd w:val="clear" w:color="auto" w:fill="F3F6FB"/>
          </w:tcPr>
          <w:p>
            <w:pPr>
              <w:spacing w:before="0" w:after="0" w:line="276" w:lineRule="auto"/>
            </w:pPr>
            <w:r>
              <w:rPr>
                <w:rFonts w:ascii="Arial" w:hAnsi="Arial" w:cs="Arial" w:eastAsia="Arial"/>
                <w:color w:val="5A6478"/>
                <w:sz w:val="18"/>
                <w:szCs w:val="18"/>
              </w:rPr>
              <w:t>VALUE AND PERCENTAGE OF FUND MANAGER’S INVESTMENT TO FUND’S NET ASSET VALUE AS OF THE END OF THE REPORTING QUARTER</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PERCENTAGE OF FEES FOR THE MANAGEMENT OF THE INVESTED FUNDS</w:t>
            </w:r>
          </w:p>
        </w:tc>
        <w:tc>
          <w:tcPr>
            <w:tcW w:type="dxa" w:w="6860"/>
          </w:tcPr>
          <w:p>
            <w:pPr>
              <w:spacing w:before="0" w:after="0" w:line="276" w:lineRule="auto"/>
            </w:pPr>
            <w:r>
              <w:rPr>
                <w:rFonts w:ascii="Arial" w:hAnsi="Arial" w:cs="Arial" w:eastAsia="Arial"/>
                <w:b/>
                <w:bCs/>
                <w:color w:val="0E1E3A"/>
                <w:sz w:val="18"/>
                <w:szCs w:val="18"/>
              </w:rPr>
              <w:t>0.42%</w:t>
            </w:r>
          </w:p>
        </w:tc>
      </w:tr>
    </w:tbl>
    <w:p>
      <w:pPr>
        <w:spacing w:before="0" w:after="40" w:line="300" w:lineRule="auto"/>
      </w:pPr>
    </w:p>
    <w:p>
      <w:pPr>
        <w:spacing w:before="0" w:after="80" w:line="312" w:lineRule="auto"/>
      </w:pPr>
      <w:r>
        <w:rPr>
          <w:rFonts w:ascii="Arial" w:hAnsi="Arial" w:cs="Arial" w:eastAsia="Arial"/>
          <w:color w:val="5A6478"/>
          <w:sz w:val="17"/>
          <w:szCs w:val="17"/>
        </w:rPr>
        <w:t>* Size of the Fund as of 30 June 2022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2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26"/>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 The graph shows the largest Fund investments and the distribution of investments by asset type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2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583,481,643</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472,947,509</w:t>
            </w:r>
          </w:p>
        </w:tc>
      </w:tr>
      <w:tr>
        <w:tc>
          <w:tcPr>
            <w:tcW w:type="dxa" w:w="3118"/>
            <w:shd w:val="clear" w:color="auto" w:fill="F3F6FB"/>
          </w:tcPr>
          <w:p>
            <w:pPr>
              <w:spacing w:before="0" w:after="0" w:line="276" w:lineRule="auto"/>
            </w:pPr>
            <w:r>
              <w:rPr>
                <w:rFonts w:ascii="Arial" w:hAnsi="Arial" w:cs="Arial" w:eastAsia="Arial"/>
                <w:color w:val="5A6478"/>
                <w:sz w:val="18"/>
                <w:szCs w:val="18"/>
              </w:rPr>
              <w:t>AMOUNT AND RATIO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0.38%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0.50%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0.62%</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COSTS AND FEES FOR THE REPORTING QUARTER</w:t>
            </w:r>
          </w:p>
        </w:tc>
        <w:tc>
          <w:tcPr>
            <w:tcW w:type="dxa" w:w="6860"/>
          </w:tcPr>
          <w:p>
            <w:pPr>
              <w:spacing w:before="0" w:after="0" w:line="276" w:lineRule="auto"/>
            </w:pPr>
            <w:r>
              <w:rPr>
                <w:rFonts w:ascii="Arial" w:hAnsi="Arial" w:cs="Arial" w:eastAsia="Arial"/>
                <w:b/>
                <w:bCs/>
                <w:color w:val="0E1E3A"/>
                <w:sz w:val="18"/>
                <w:szCs w:val="18"/>
              </w:rPr>
              <w:t>SAR 2,928,137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0.47%</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2022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costs are all Fund fees and expenses, including financing costs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29"/>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119,019,919</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201,118,238</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71,273,188</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138,891,103</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53,179,199</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31"/>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1" name="Picture 9032"/>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2968216"/>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OF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OF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OF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OF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r>
        <w:tc>
          <w:tcPr>
            <w:tcW w:type="dxa" w:w="3118"/>
            <w:shd w:val="clear" w:color="auto" w:fill="F3F6FB"/>
          </w:tcPr>
          <w:p>
            <w:pPr>
              <w:spacing w:before="0" w:after="0" w:line="276" w:lineRule="auto"/>
            </w:pPr>
            <w:r>
              <w:rPr>
                <w:rFonts w:ascii="Arial" w:hAnsi="Arial" w:cs="Arial" w:eastAsia="Arial"/>
                <w:color w:val="5A6478"/>
                <w:sz w:val="18"/>
                <w:szCs w:val="18"/>
              </w:rPr>
              <w:t>AS OF 31 DECEMBER 2021</w:t>
            </w:r>
          </w:p>
        </w:tc>
        <w:tc>
          <w:tcPr>
            <w:tcW w:type="dxa" w:w="6860"/>
          </w:tcPr>
          <w:p>
            <w:pPr>
              <w:spacing w:before="0" w:after="0" w:line="276" w:lineRule="auto"/>
            </w:pPr>
            <w:r>
              <w:rPr>
                <w:rFonts w:ascii="Arial" w:hAnsi="Arial" w:cs="Arial" w:eastAsia="Arial"/>
                <w:b/>
                <w:bCs/>
                <w:color w:val="0E1E3A"/>
                <w:sz w:val="18"/>
                <w:szCs w:val="18"/>
              </w:rPr>
              <w:t>SAR 409,930,345</w:t>
            </w:r>
          </w:p>
        </w:tc>
      </w:tr>
      <w:tr>
        <w:tc>
          <w:tcPr>
            <w:tcW w:type="dxa" w:w="3118"/>
            <w:shd w:val="clear" w:color="auto" w:fill="F3F6FB"/>
          </w:tcPr>
          <w:p>
            <w:pPr>
              <w:spacing w:before="0" w:after="0" w:line="276" w:lineRule="auto"/>
            </w:pPr>
            <w:r>
              <w:rPr>
                <w:rFonts w:ascii="Arial" w:hAnsi="Arial" w:cs="Arial" w:eastAsia="Arial"/>
                <w:color w:val="5A6478"/>
                <w:sz w:val="18"/>
                <w:szCs w:val="18"/>
              </w:rPr>
              <w:t>AS OF 31 MARCH 2022</w:t>
            </w:r>
          </w:p>
        </w:tc>
        <w:tc>
          <w:tcPr>
            <w:tcW w:type="dxa" w:w="6860"/>
          </w:tcPr>
          <w:p>
            <w:pPr>
              <w:spacing w:before="0" w:after="0" w:line="276" w:lineRule="auto"/>
            </w:pPr>
            <w:r>
              <w:rPr>
                <w:rFonts w:ascii="Arial" w:hAnsi="Arial" w:cs="Arial" w:eastAsia="Arial"/>
                <w:b/>
                <w:bCs/>
                <w:color w:val="0E1E3A"/>
                <w:sz w:val="18"/>
                <w:szCs w:val="18"/>
              </w:rPr>
              <w:t>SAR 402,838,124</w:t>
            </w:r>
          </w:p>
        </w:tc>
      </w:tr>
      <w:tr>
        <w:tc>
          <w:tcPr>
            <w:tcW w:type="dxa" w:w="3118"/>
            <w:shd w:val="clear" w:color="auto" w:fill="F3F6FB"/>
          </w:tcPr>
          <w:p>
            <w:pPr>
              <w:spacing w:before="0" w:after="0" w:line="276" w:lineRule="auto"/>
            </w:pPr>
            <w:r>
              <w:rPr>
                <w:rFonts w:ascii="Arial" w:hAnsi="Arial" w:cs="Arial" w:eastAsia="Arial"/>
                <w:color w:val="5A6478"/>
                <w:sz w:val="18"/>
                <w:szCs w:val="18"/>
              </w:rPr>
              <w:t>AS OF 30 JUNE 2022</w:t>
            </w:r>
          </w:p>
        </w:tc>
        <w:tc>
          <w:tcPr>
            <w:tcW w:type="dxa" w:w="6860"/>
          </w:tcPr>
          <w:p>
            <w:pPr>
              <w:spacing w:before="0" w:after="0" w:line="276" w:lineRule="auto"/>
            </w:pPr>
            <w:r>
              <w:rPr>
                <w:rFonts w:ascii="Arial" w:hAnsi="Arial" w:cs="Arial" w:eastAsia="Arial"/>
                <w:b/>
                <w:bCs/>
                <w:color w:val="0E1E3A"/>
                <w:sz w:val="18"/>
                <w:szCs w:val="18"/>
              </w:rPr>
              <w:t>SAR 342,317,843</w:t>
            </w:r>
          </w:p>
        </w:tc>
      </w:tr>
    </w:tbl>
    <w:p>
      <w:pPr>
        <w:spacing w:before="0" w:after="40" w:line="300" w:lineRule="auto"/>
      </w:pP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OF THE END OF Q2 (30 JUNE 2022)</w:t>
            </w:r>
          </w:p>
        </w:tc>
        <w:tc>
          <w:tcPr>
            <w:tcW w:type="dxa" w:w="6860"/>
          </w:tcPr>
          <w:p>
            <w:pPr>
              <w:spacing w:before="0" w:after="0" w:line="276" w:lineRule="auto"/>
            </w:pPr>
            <w:r>
              <w:rPr>
                <w:rFonts w:ascii="Arial" w:hAnsi="Arial" w:cs="Arial" w:eastAsia="Arial"/>
                <w:b/>
                <w:bCs/>
                <w:color w:val="0E1E3A"/>
                <w:sz w:val="18"/>
                <w:szCs w:val="18"/>
              </w:rPr>
              <w:t>SAR 7.24</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 (FROM 31 MARCH 2022 TO 30 JUNE 2022)*</w:t>
            </w:r>
          </w:p>
        </w:tc>
        <w:tc>
          <w:tcPr>
            <w:tcW w:type="dxa" w:w="6860"/>
          </w:tcPr>
          <w:p>
            <w:pPr>
              <w:spacing w:before="0" w:after="0" w:line="276" w:lineRule="auto"/>
            </w:pPr>
            <w:r>
              <w:rPr>
                <w:rFonts w:ascii="Arial" w:hAnsi="Arial" w:cs="Arial" w:eastAsia="Arial"/>
                <w:b/>
                <w:bCs/>
                <w:color w:val="0E1E3A"/>
                <w:sz w:val="18"/>
                <w:szCs w:val="18"/>
              </w:rPr>
              <w:t>-15.02%</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Q2 2022)</w:t>
            </w:r>
          </w:p>
        </w:tc>
        <w:tc>
          <w:tcPr>
            <w:tcW w:type="dxa" w:w="6860"/>
          </w:tcPr>
          <w:p>
            <w:pPr>
              <w:spacing w:before="0" w:after="0" w:line="276" w:lineRule="auto"/>
            </w:pPr>
            <w:r>
              <w:rPr>
                <w:rFonts w:ascii="Arial" w:hAnsi="Arial" w:cs="Arial" w:eastAsia="Arial"/>
                <w:b/>
                <w:bCs/>
                <w:color w:val="0E1E3A"/>
                <w:sz w:val="18"/>
                <w:szCs w:val="18"/>
              </w:rPr>
              <w:t>-27.60%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9.44</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6.94</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bl>
    <w:p>
      <w:pPr>
        <w:spacing w:before="0" w:after="40" w:line="300" w:lineRule="auto"/>
      </w:pPr>
    </w:p>
    <w:p>
      <w:pPr>
        <w:spacing w:before="0" w:after="80" w:line="312" w:lineRule="auto"/>
      </w:pPr>
      <w:r>
        <w:rPr>
          <w:rFonts w:ascii="Arial" w:hAnsi="Arial" w:cs="Arial" w:eastAsia="Arial"/>
          <w:color w:val="5A6478"/>
          <w:sz w:val="17"/>
          <w:szCs w:val="17"/>
        </w:rPr>
        <w:t>* Unit Price as of 30 June 2022 = SAR 7.24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35"/>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 FOR THE QUARTER</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returns on the Fund's investments after deducting the expenses from the Unitholders twice a year, provided distributions are made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11,820,368</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INTIAL UNIT PRICE</w:t>
            </w:r>
          </w:p>
        </w:tc>
        <w:tc>
          <w:tcPr>
            <w:tcW w:type="dxa" w:w="6860"/>
          </w:tcPr>
          <w:p>
            <w:pPr>
              <w:spacing w:before="0" w:after="0" w:line="276" w:lineRule="auto"/>
            </w:pPr>
            <w:r>
              <w:rPr>
                <w:rFonts w:ascii="Arial" w:hAnsi="Arial" w:cs="Arial" w:eastAsia="Arial"/>
                <w:b/>
                <w:bCs/>
                <w:color w:val="0E1E3A"/>
                <w:sz w:val="18"/>
                <w:szCs w:val="18"/>
              </w:rPr>
              <w:t>2.50%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3.45%</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10,706,181.58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(30 JUNE 2022)</w:t>
            </w:r>
          </w:p>
        </w:tc>
        <w:tc>
          <w:tcPr>
            <w:tcW w:type="dxa" w:w="6860"/>
          </w:tcPr>
          <w:p>
            <w:pPr>
              <w:spacing w:before="0" w:after="0" w:line="276" w:lineRule="auto"/>
            </w:pPr>
            <w:r>
              <w:rPr>
                <w:rFonts w:ascii="Arial" w:hAnsi="Arial" w:cs="Arial" w:eastAsia="Arial"/>
                <w:b/>
                <w:bCs/>
                <w:color w:val="0E1E3A"/>
                <w:sz w:val="18"/>
                <w:szCs w:val="18"/>
              </w:rPr>
              <w:t>3.13%</w:t>
            </w:r>
          </w:p>
        </w:tc>
      </w:tr>
    </w:tbl>
    <w:p>
      <w:pPr>
        <w:spacing w:before="0" w:after="40" w:line="300" w:lineRule="auto"/>
      </w:pPr>
    </w:p>
    <w:p>
      <w:pPr>
        <w:spacing w:before="0" w:after="80" w:line="312" w:lineRule="auto"/>
      </w:pPr>
      <w:r>
        <w:rPr>
          <w:rFonts w:ascii="Arial" w:hAnsi="Arial" w:cs="Arial" w:eastAsia="Arial"/>
          <w:color w:val="5A6478"/>
          <w:sz w:val="17"/>
          <w:szCs w:val="17"/>
        </w:rPr>
        <w:t>* From 1 April 2022 to 30 June 2022</w:t>
      </w:r>
      <w:r>
        <w:br/>
      </w:r>
      <w:r>
        <w:rPr>
          <w:rFonts w:ascii="Arial" w:hAnsi="Arial" w:cs="Arial" w:eastAsia="Arial"/>
          <w:color w:val="5A6478"/>
          <w:sz w:val="17"/>
          <w:szCs w:val="17"/>
        </w:rPr>
        <w:t>** From 1 January 2022 to 30 June 2022</w:t>
      </w:r>
      <w:r>
        <w:br/>
      </w:r>
      <w:r>
        <w:rPr>
          <w:rFonts w:ascii="Arial" w:hAnsi="Arial" w:cs="Arial" w:eastAsia="Arial"/>
          <w:color w:val="5A6478"/>
          <w:sz w:val="17"/>
          <w:szCs w:val="17"/>
        </w:rPr>
        <w:t>*** Unit Price as of 30 June 2022 = SAR 7.24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36"/>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CRITERIAS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12M LIBOR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-15.02%</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-27.60%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-23.30%</w:t>
            </w:r>
          </w:p>
        </w:tc>
      </w:tr>
    </w:tbl>
    <w:p>
      <w:pPr>
        <w:spacing w:before="0" w:after="40" w:line="300" w:lineRule="auto"/>
      </w:pPr>
    </w:p>
    <w:p>
      <w:pPr>
        <w:spacing w:before="0" w:after="80" w:line="312" w:lineRule="auto"/>
      </w:pPr>
      <w:r>
        <w:rPr>
          <w:rFonts w:ascii="Arial" w:hAnsi="Arial" w:cs="Arial" w:eastAsia="Arial"/>
          <w:color w:val="5A6478"/>
          <w:sz w:val="17"/>
          <w:szCs w:val="17"/>
        </w:rPr>
        <w:t>* Unit Price as of 31 March 2022 = SAR 8.52</w:t>
      </w:r>
      <w:r>
        <w:br/>
      </w:r>
      <w:r>
        <w:rPr>
          <w:rFonts w:ascii="Arial" w:hAnsi="Arial" w:cs="Arial" w:eastAsia="Arial"/>
          <w:color w:val="5A6478"/>
          <w:sz w:val="17"/>
          <w:szCs w:val="17"/>
        </w:rPr>
        <w:t>** From the Fund’s Date of Inception to end Q2 2022</w:t>
      </w:r>
      <w:r>
        <w:br/>
      </w:r>
      <w:r>
        <w:rPr>
          <w:rFonts w:ascii="Arial" w:hAnsi="Arial" w:cs="Arial" w:eastAsia="Arial"/>
          <w:color w:val="5A6478"/>
          <w:sz w:val="17"/>
          <w:szCs w:val="17"/>
        </w:rPr>
        <w:t>*** Total Return = Unit Price Performance + Total Dividend Distributions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12-month LIBOR plus 300 bps.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38"/>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LIBOR + 300 BPS</w:t>
            </w:r>
          </w:p>
        </w:tc>
      </w:tr>
      <w:tr>
        <w:tc>
          <w:tcPr>
            <w:tcW w:type="dxa" w:w="3326"/>
          </w:tcPr>
          <w:p>
            <w:pPr>
              <w:spacing w:before="0" w:after="0" w:line="264" w:lineRule="auto"/>
            </w:pPr>
            <w:r>
              <w:rPr>
                <w:rFonts w:ascii="Arial" w:hAnsi="Arial" w:cs="Arial" w:eastAsia="Arial"/>
                <w:color w:val="0E1E3A"/>
                <w:sz w:val="17"/>
                <w:szCs w:val="17"/>
              </w:rPr>
              <w:t>NET ASSET VALUE PER UNIT AS OF THE BEGINNING OF THE PERIOD*</w:t>
            </w:r>
          </w:p>
        </w:tc>
        <w:tc>
          <w:tcPr>
            <w:tcW w:type="dxa" w:w="3326"/>
          </w:tcPr>
          <w:p>
            <w:pPr>
              <w:spacing w:before="0" w:after="0" w:line="264" w:lineRule="auto"/>
            </w:pPr>
            <w:r>
              <w:rPr>
                <w:rFonts w:ascii="Arial" w:hAnsi="Arial" w:cs="Arial" w:eastAsia="Arial"/>
                <w:color w:val="0E1E3A"/>
                <w:sz w:val="17"/>
                <w:szCs w:val="17"/>
              </w:rPr>
              <w:t>9.9877</w:t>
            </w:r>
          </w:p>
        </w:tc>
        <w:tc>
          <w:tcPr>
            <w:tcW w:type="dxa" w:w="3326"/>
          </w:tcPr>
          <w:p>
            <w:pPr>
              <w:spacing w:before="0" w:after="0" w:line="264" w:lineRule="auto"/>
            </w:pPr>
            <w:r>
              <w:rPr>
                <w:rFonts w:ascii="Arial" w:hAnsi="Arial" w:cs="Arial" w:eastAsia="Arial"/>
                <w:color w:val="0E1E3A"/>
                <w:sz w:val="17"/>
                <w:szCs w:val="17"/>
              </w:rPr>
              <w:t>NOT APPLICABLE</w:t>
            </w:r>
          </w:p>
        </w:tc>
      </w:tr>
      <w:tr>
        <w:tc>
          <w:tcPr>
            <w:tcW w:type="dxa" w:w="3326"/>
          </w:tcPr>
          <w:p>
            <w:pPr>
              <w:spacing w:before="0" w:after="0" w:line="264" w:lineRule="auto"/>
            </w:pPr>
            <w:r>
              <w:rPr>
                <w:rFonts w:ascii="Arial" w:hAnsi="Arial" w:cs="Arial" w:eastAsia="Arial"/>
                <w:color w:val="0E1E3A"/>
                <w:sz w:val="17"/>
                <w:szCs w:val="17"/>
              </w:rPr>
              <w:t>NET ASSET VALUE PER UNIT AS OF THE END OF THE PERIOD**</w:t>
            </w:r>
          </w:p>
        </w:tc>
        <w:tc>
          <w:tcPr>
            <w:tcW w:type="dxa" w:w="3326"/>
          </w:tcPr>
          <w:p>
            <w:pPr>
              <w:spacing w:before="0" w:after="0" w:line="264" w:lineRule="auto"/>
            </w:pPr>
            <w:r>
              <w:rPr>
                <w:rFonts w:ascii="Arial" w:hAnsi="Arial" w:cs="Arial" w:eastAsia="Arial"/>
                <w:color w:val="0E1E3A"/>
                <w:sz w:val="17"/>
                <w:szCs w:val="17"/>
              </w:rPr>
              <w:t>10.0028</w:t>
            </w:r>
          </w:p>
        </w:tc>
        <w:tc>
          <w:tcPr>
            <w:tcW w:type="dxa" w:w="3326"/>
          </w:tcPr>
          <w:p>
            <w:pPr>
              <w:spacing w:before="0" w:after="0" w:line="264" w:lineRule="auto"/>
            </w:pPr>
            <w:r>
              <w:rPr>
                <w:rFonts w:ascii="Arial" w:hAnsi="Arial" w:cs="Arial" w:eastAsia="Arial"/>
                <w:color w:val="0E1E3A"/>
                <w:sz w:val="17"/>
                <w:szCs w:val="17"/>
              </w:rPr>
              <w:t>NOT APPLICABLE</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0.015%</w:t>
            </w:r>
          </w:p>
        </w:tc>
        <w:tc>
          <w:tcPr>
            <w:tcW w:type="dxa" w:w="3326"/>
          </w:tcPr>
          <w:p>
            <w:pPr>
              <w:spacing w:before="0" w:after="0" w:line="264" w:lineRule="auto"/>
            </w:pPr>
            <w:r>
              <w:rPr>
                <w:rFonts w:ascii="Arial" w:hAnsi="Arial" w:cs="Arial" w:eastAsia="Arial"/>
                <w:color w:val="0E1E3A"/>
                <w:sz w:val="17"/>
                <w:szCs w:val="17"/>
              </w:rPr>
              <w:t>1.36%***</w:t>
            </w:r>
          </w:p>
        </w:tc>
      </w:tr>
    </w:tbl>
    <w:p>
      <w:pPr>
        <w:spacing w:before="0" w:after="40" w:line="300" w:lineRule="auto"/>
      </w:pPr>
    </w:p>
    <w:p>
      <w:pPr>
        <w:spacing w:before="0" w:after="80" w:line="312" w:lineRule="auto"/>
      </w:pPr>
      <w:r>
        <w:rPr>
          <w:rFonts w:ascii="Arial" w:hAnsi="Arial" w:cs="Arial" w:eastAsia="Arial"/>
          <w:color w:val="5A6478"/>
          <w:sz w:val="17"/>
          <w:szCs w:val="17"/>
        </w:rPr>
        <w:t>* As of 31 March 2022</w:t>
      </w:r>
      <w:r>
        <w:br/>
      </w:r>
      <w:r>
        <w:rPr>
          <w:rFonts w:ascii="Arial" w:hAnsi="Arial" w:cs="Arial" w:eastAsia="Arial"/>
          <w:color w:val="5A6478"/>
          <w:sz w:val="17"/>
          <w:szCs w:val="17"/>
        </w:rPr>
        <w:t>** As of 30 June 2022</w:t>
      </w:r>
      <w:r>
        <w:br/>
      </w:r>
      <w:r>
        <w:rPr>
          <w:rFonts w:ascii="Arial" w:hAnsi="Arial" w:cs="Arial" w:eastAsia="Arial"/>
          <w:color w:val="5A6478"/>
          <w:sz w:val="17"/>
          <w:szCs w:val="17"/>
        </w:rPr>
        <w:t>*** Benchmark average return is 4.10% per annum, or a return of 1.36% for the reporting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FULL OWNERSHIP</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UNSUFRUCT RIGHT</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0"/>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spacing w:before="0" w:after="0" w:line="264" w:lineRule="auto"/>
            </w:pPr>
            <w:r>
              <w:rPr>
                <w:rFonts w:ascii="Arial" w:hAnsi="Arial" w:cs="Arial" w:eastAsia="Arial"/>
                <w:b/>
                <w:bCs/>
                <w:color w:val="FFFFFF"/>
                <w:sz w:val="17"/>
                <w:szCs w:val="17"/>
              </w:rPr>
              <w:t>ITEM</w:t>
            </w:r>
          </w:p>
        </w:tc>
        <w:tc>
          <w:tcPr>
            <w:tcW w:type="dxa" w:w="2494"/>
            <w:shd w:val="clear" w:color="auto" w:fill="12284B"/>
          </w:tcPr>
          <w:p>
            <w:pPr>
              <w:spacing w:before="0" w:after="0" w:line="264" w:lineRule="auto"/>
            </w:pPr>
            <w:r>
              <w:rPr>
                <w:rFonts w:ascii="Arial" w:hAnsi="Arial" w:cs="Arial" w:eastAsia="Arial"/>
                <w:b/>
                <w:bCs/>
                <w:color w:val="FFFFFF"/>
                <w:sz w:val="17"/>
                <w:szCs w:val="17"/>
              </w:rPr>
              <w:t>3 MONTHS*</w:t>
            </w:r>
          </w:p>
        </w:tc>
        <w:tc>
          <w:tcPr>
            <w:tcW w:type="dxa" w:w="2494"/>
            <w:shd w:val="clear" w:color="auto" w:fill="12284B"/>
          </w:tcPr>
          <w:p>
            <w:pPr>
              <w:spacing w:before="0" w:after="0" w:line="264" w:lineRule="auto"/>
            </w:pPr>
            <w:r>
              <w:rPr>
                <w:rFonts w:ascii="Arial" w:hAnsi="Arial" w:cs="Arial" w:eastAsia="Arial"/>
                <w:b/>
                <w:bCs/>
                <w:color w:val="FFFFFF"/>
                <w:sz w:val="17"/>
                <w:szCs w:val="17"/>
              </w:rPr>
              <w:t>ONE YEAR UP TO 30 JUNE 2022(YTD)**</w:t>
            </w:r>
          </w:p>
        </w:tc>
        <w:tc>
          <w:tcPr>
            <w:tcW w:type="dxa" w:w="2494"/>
            <w:shd w:val="clear" w:color="auto" w:fill="12284B"/>
          </w:tcPr>
          <w:p>
            <w:pPr>
              <w:spacing w:before="0" w:after="0" w:line="264" w:lineRule="auto"/>
            </w:pPr>
            <w:r>
              <w:rPr>
                <w:rFonts w:ascii="Arial" w:hAnsi="Arial" w:cs="Arial" w:eastAsia="Arial"/>
                <w:b/>
                <w:bCs/>
                <w:color w:val="FFFFFF"/>
                <w:sz w:val="17"/>
                <w:szCs w:val="17"/>
              </w:rPr>
              <w:t>ONE YEAR***</w:t>
            </w:r>
          </w:p>
        </w:tc>
      </w:tr>
      <w:tr>
        <w:tc>
          <w:tcPr>
            <w:tcW w:type="dxa" w:w="2494"/>
          </w:tcPr>
          <w:p>
            <w:pPr>
              <w:spacing w:before="0" w:after="0" w:line="264" w:lineRule="auto"/>
            </w:pPr>
            <w:r>
              <w:rPr>
                <w:rFonts w:ascii="Arial" w:hAnsi="Arial" w:cs="Arial" w:eastAsia="Arial"/>
                <w:color w:val="0E1E3A"/>
                <w:sz w:val="17"/>
                <w:szCs w:val="17"/>
              </w:rPr>
              <w:t>NAV/UNIT PERFORMANCE</w:t>
            </w:r>
          </w:p>
        </w:tc>
        <w:tc>
          <w:tcPr>
            <w:tcW w:type="dxa" w:w="2494"/>
          </w:tcPr>
          <w:p>
            <w:pPr>
              <w:spacing w:before="0" w:after="0" w:line="264" w:lineRule="auto"/>
            </w:pPr>
            <w:r>
              <w:rPr>
                <w:rFonts w:ascii="Arial" w:hAnsi="Arial" w:cs="Arial" w:eastAsia="Arial"/>
                <w:color w:val="0E1E3A"/>
                <w:sz w:val="17"/>
                <w:szCs w:val="17"/>
              </w:rPr>
              <w:t>-0.01%</w:t>
            </w:r>
          </w:p>
        </w:tc>
        <w:tc>
          <w:tcPr>
            <w:tcW w:type="dxa" w:w="2494"/>
          </w:tcPr>
          <w:p>
            <w:pPr>
              <w:spacing w:before="0" w:after="0" w:line="264" w:lineRule="auto"/>
            </w:pPr>
            <w:r>
              <w:rPr>
                <w:rFonts w:ascii="Arial" w:hAnsi="Arial" w:cs="Arial" w:eastAsia="Arial"/>
                <w:color w:val="0E1E3A"/>
                <w:sz w:val="17"/>
                <w:szCs w:val="17"/>
              </w:rPr>
              <w:t>0.01%**</w:t>
            </w:r>
          </w:p>
        </w:tc>
        <w:tc>
          <w:tcPr>
            <w:tcW w:type="dxa" w:w="2494"/>
          </w:tcPr>
          <w:p>
            <w:pPr>
              <w:spacing w:before="0" w:after="0" w:line="264" w:lineRule="auto"/>
            </w:pPr>
            <w:r>
              <w:rPr>
                <w:rFonts w:ascii="Arial" w:hAnsi="Arial" w:cs="Arial" w:eastAsia="Arial"/>
                <w:color w:val="0E1E3A"/>
                <w:sz w:val="17"/>
                <w:szCs w:val="17"/>
              </w:rPr>
              <w:t>2.90%***</w:t>
            </w:r>
          </w:p>
        </w:tc>
      </w:tr>
      <w:tr>
        <w:tc>
          <w:tcPr>
            <w:tcW w:type="dxa" w:w="2494"/>
          </w:tcPr>
          <w:p>
            <w:pPr>
              <w:spacing w:before="0" w:after="0" w:line="264" w:lineRule="auto"/>
            </w:pPr>
            <w:r>
              <w:rPr>
                <w:rFonts w:ascii="Arial" w:hAnsi="Arial" w:cs="Arial" w:eastAsia="Arial"/>
                <w:color w:val="0E1E3A"/>
                <w:sz w:val="17"/>
                <w:szCs w:val="17"/>
              </w:rPr>
              <w:t>BENCHMARK PERFORMANCE</w:t>
            </w:r>
          </w:p>
        </w:tc>
        <w:tc>
          <w:tcPr>
            <w:tcW w:type="dxa" w:w="2494"/>
          </w:tcPr>
          <w:p>
            <w:pPr>
              <w:spacing w:before="0" w:after="0" w:line="264" w:lineRule="auto"/>
            </w:pPr>
            <w:r>
              <w:rPr>
                <w:rFonts w:ascii="Arial" w:hAnsi="Arial" w:cs="Arial" w:eastAsia="Arial"/>
                <w:color w:val="0E1E3A"/>
                <w:sz w:val="17"/>
                <w:szCs w:val="17"/>
              </w:rPr>
              <w:t>1.36%</w:t>
            </w:r>
          </w:p>
        </w:tc>
        <w:tc>
          <w:tcPr>
            <w:tcW w:type="dxa" w:w="2494"/>
          </w:tcPr>
          <w:p>
            <w:pPr>
              <w:spacing w:before="0" w:after="0" w:line="264" w:lineRule="auto"/>
            </w:pPr>
            <w:r>
              <w:rPr>
                <w:rFonts w:ascii="Arial" w:hAnsi="Arial" w:cs="Arial" w:eastAsia="Arial"/>
                <w:color w:val="0E1E3A"/>
                <w:sz w:val="17"/>
                <w:szCs w:val="17"/>
              </w:rPr>
              <w:t>2.41%</w:t>
            </w:r>
          </w:p>
        </w:tc>
        <w:tc>
          <w:tcPr>
            <w:tcW w:type="dxa" w:w="2494"/>
          </w:tcPr>
          <w:p>
            <w:pPr>
              <w:spacing w:before="0" w:after="0" w:line="264" w:lineRule="auto"/>
            </w:pPr>
            <w:r>
              <w:rPr>
                <w:rFonts w:ascii="Arial" w:hAnsi="Arial" w:cs="Arial" w:eastAsia="Arial"/>
                <w:color w:val="0E1E3A"/>
                <w:sz w:val="17"/>
                <w:szCs w:val="17"/>
              </w:rPr>
              <w:t>4.10%</w:t>
            </w:r>
          </w:p>
        </w:tc>
      </w:tr>
      <w:tr>
        <w:tc>
          <w:tcPr>
            <w:tcW w:type="dxa" w:w="2494"/>
          </w:tcPr>
          <w:p>
            <w:pPr>
              <w:spacing w:before="0" w:after="0" w:line="264" w:lineRule="auto"/>
            </w:pPr>
            <w:r>
              <w:rPr>
                <w:rFonts w:ascii="Arial" w:hAnsi="Arial" w:cs="Arial" w:eastAsia="Arial"/>
                <w:color w:val="0E1E3A"/>
                <w:sz w:val="17"/>
                <w:szCs w:val="17"/>
              </w:rPr>
              <w:t>PERFORMANCE DIFFERENCE</w:t>
            </w:r>
          </w:p>
        </w:tc>
        <w:tc>
          <w:tcPr>
            <w:tcW w:type="dxa" w:w="2494"/>
          </w:tcPr>
          <w:p>
            <w:pPr>
              <w:spacing w:before="0" w:after="0" w:line="264" w:lineRule="auto"/>
            </w:pPr>
            <w:r>
              <w:rPr>
                <w:rFonts w:ascii="Arial" w:hAnsi="Arial" w:cs="Arial" w:eastAsia="Arial"/>
                <w:color w:val="0E1E3A"/>
                <w:sz w:val="17"/>
                <w:szCs w:val="17"/>
              </w:rPr>
              <w:t>-1.35%</w:t>
            </w:r>
          </w:p>
        </w:tc>
        <w:tc>
          <w:tcPr>
            <w:tcW w:type="dxa" w:w="2494"/>
          </w:tcPr>
          <w:p>
            <w:pPr>
              <w:spacing w:before="0" w:after="0" w:line="264" w:lineRule="auto"/>
            </w:pPr>
            <w:r>
              <w:rPr>
                <w:rFonts w:ascii="Arial" w:hAnsi="Arial" w:cs="Arial" w:eastAsia="Arial"/>
                <w:color w:val="0E1E3A"/>
                <w:sz w:val="17"/>
                <w:szCs w:val="17"/>
              </w:rPr>
              <w:t>-2.40%</w:t>
            </w:r>
          </w:p>
        </w:tc>
        <w:tc>
          <w:tcPr>
            <w:tcW w:type="dxa" w:w="2494"/>
          </w:tcPr>
          <w:p>
            <w:pPr>
              <w:spacing w:before="0" w:after="0" w:line="264" w:lineRule="auto"/>
            </w:pPr>
            <w:r>
              <w:rPr>
                <w:rFonts w:ascii="Arial" w:hAnsi="Arial" w:cs="Arial" w:eastAsia="Arial"/>
                <w:color w:val="0E1E3A"/>
                <w:sz w:val="17"/>
                <w:szCs w:val="17"/>
              </w:rPr>
              <w:t>1.20%</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April 2022 to 30 June 2022</w:t>
      </w:r>
      <w:r>
        <w:br/>
      </w:r>
      <w:r>
        <w:rPr>
          <w:rFonts w:ascii="Arial" w:hAnsi="Arial" w:cs="Arial" w:eastAsia="Arial"/>
          <w:color w:val="5A6478"/>
          <w:sz w:val="17"/>
          <w:szCs w:val="17"/>
        </w:rPr>
        <w:t>** For the period from 1 January 2022 to 30 June 2022, including cash distributions of 2.50%</w:t>
      </w:r>
      <w:r>
        <w:br/>
      </w:r>
      <w:r>
        <w:rPr>
          <w:rFonts w:ascii="Arial" w:hAnsi="Arial" w:cs="Arial" w:eastAsia="Arial"/>
          <w:color w:val="5A6478"/>
          <w:sz w:val="17"/>
          <w:szCs w:val="17"/>
        </w:rPr>
        <w:t>*** For the period from 30 June 2021 to 30 June 2022, including cash distributions of 4.3% (Unit Price as of 30 June 2022 = SAR 10.0028)</w:t>
      </w:r>
      <w:r>
        <w:br/>
      </w:r>
      <w:r>
        <w:rPr>
          <w:rFonts w:ascii="Arial" w:hAnsi="Arial" w:cs="Arial" w:eastAsia="Arial"/>
          <w:color w:val="5A6478"/>
          <w:sz w:val="17"/>
          <w:szCs w:val="17"/>
        </w:rPr>
        <w:t>It should be noted that the Unit Price on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1"/>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2494"/>
            <w:shd w:val="clear" w:color="auto" w:fill="12284B"/>
          </w:tcPr>
          <w:p>
            <w:pPr>
              <w:spacing w:before="0" w:after="0" w:line="264" w:lineRule="auto"/>
            </w:pPr>
            <w:r>
              <w:rPr>
                <w:rFonts w:ascii="Arial" w:hAnsi="Arial" w:cs="Arial" w:eastAsia="Arial"/>
                <w:b/>
                <w:bCs/>
                <w:color w:val="FFFFFF"/>
                <w:sz w:val="17"/>
                <w:szCs w:val="17"/>
              </w:rPr>
              <w:t>3 MONTHS1</w:t>
            </w:r>
          </w:p>
        </w:tc>
        <w:tc>
          <w:tcPr>
            <w:tcW w:type="dxa" w:w="2494"/>
            <w:shd w:val="clear" w:color="auto" w:fill="12284B"/>
          </w:tcPr>
          <w:p>
            <w:pPr>
              <w:spacing w:before="0" w:after="0" w:line="264" w:lineRule="auto"/>
            </w:pPr>
            <w:r>
              <w:rPr>
                <w:rFonts w:ascii="Arial" w:hAnsi="Arial" w:cs="Arial" w:eastAsia="Arial"/>
                <w:b/>
                <w:bCs/>
                <w:color w:val="FFFFFF"/>
                <w:sz w:val="17"/>
                <w:szCs w:val="17"/>
              </w:rPr>
              <w:t>ONE YEAR UP TO 30 JUNE 2022 (YTD)</w:t>
            </w:r>
            <w:r>
              <w:rPr>
                <w:rFonts w:ascii="Arial" w:hAnsi="Arial" w:cs="Arial" w:eastAsia="Arial"/>
                <w:b/>
                <w:bCs/>
                <w:color w:val="FFFFFF"/>
                <w:sz w:val="17"/>
                <w:szCs w:val="17"/>
              </w:rPr>
              <w:t>2</w:t>
            </w:r>
          </w:p>
        </w:tc>
        <w:tc>
          <w:tcPr>
            <w:tcW w:type="dxa" w:w="2494"/>
            <w:shd w:val="clear" w:color="auto" w:fill="12284B"/>
          </w:tcPr>
          <w:p>
            <w:pPr>
              <w:spacing w:before="0" w:after="0" w:line="264" w:lineRule="auto"/>
            </w:pPr>
            <w:r>
              <w:rPr>
                <w:rFonts w:ascii="Arial" w:hAnsi="Arial" w:cs="Arial" w:eastAsia="Arial"/>
                <w:b/>
                <w:bCs/>
                <w:color w:val="FFFFFF"/>
                <w:sz w:val="17"/>
                <w:szCs w:val="17"/>
              </w:rPr>
              <w:t>ONE YEAR3</w:t>
            </w:r>
          </w:p>
        </w:tc>
      </w:tr>
      <w:tr>
        <w:tc>
          <w:tcPr>
            <w:tcW w:type="dxa" w:w="2494"/>
          </w:tcPr>
          <w:p>
            <w:pPr>
              <w:spacing w:before="0" w:after="0" w:line="264" w:lineRule="auto"/>
            </w:pPr>
            <w:r>
              <w:rPr>
                <w:rFonts w:ascii="Arial" w:hAnsi="Arial" w:cs="Arial" w:eastAsia="Arial"/>
                <w:color w:val="0E1E3A"/>
                <w:sz w:val="17"/>
                <w:szCs w:val="17"/>
              </w:rPr>
              <w:t>STANDARD DEVIATION4</w:t>
            </w:r>
          </w:p>
        </w:tc>
        <w:tc>
          <w:tcPr>
            <w:tcW w:type="dxa" w:w="2494"/>
          </w:tcPr>
          <w:p>
            <w:pPr>
              <w:spacing w:before="0" w:after="0" w:line="264" w:lineRule="auto"/>
            </w:pPr>
            <w:r>
              <w:rPr>
                <w:rFonts w:ascii="Arial" w:hAnsi="Arial" w:cs="Arial" w:eastAsia="Arial"/>
                <w:color w:val="0E1E3A"/>
                <w:sz w:val="17"/>
                <w:szCs w:val="17"/>
              </w:rPr>
              <w:t>10.77</w:t>
            </w:r>
          </w:p>
        </w:tc>
        <w:tc>
          <w:tcPr>
            <w:tcW w:type="dxa" w:w="2494"/>
          </w:tcPr>
          <w:p>
            <w:pPr>
              <w:spacing w:before="0" w:after="0" w:line="264" w:lineRule="auto"/>
            </w:pPr>
            <w:r>
              <w:rPr>
                <w:rFonts w:ascii="Arial" w:hAnsi="Arial" w:cs="Arial" w:eastAsia="Arial"/>
                <w:color w:val="0E1E3A"/>
                <w:sz w:val="17"/>
                <w:szCs w:val="17"/>
              </w:rPr>
              <w:t>10.70</w:t>
            </w:r>
          </w:p>
        </w:tc>
        <w:tc>
          <w:tcPr>
            <w:tcW w:type="dxa" w:w="2494"/>
          </w:tcPr>
          <w:p>
            <w:pPr>
              <w:spacing w:before="0" w:after="0" w:line="264" w:lineRule="auto"/>
            </w:pPr>
            <w:r>
              <w:rPr>
                <w:rFonts w:ascii="Arial" w:hAnsi="Arial" w:cs="Arial" w:eastAsia="Arial"/>
                <w:color w:val="0E1E3A"/>
                <w:sz w:val="17"/>
                <w:szCs w:val="17"/>
              </w:rPr>
              <w:t>8.83</w:t>
            </w:r>
          </w:p>
        </w:tc>
      </w:tr>
      <w:tr>
        <w:tc>
          <w:tcPr>
            <w:tcW w:type="dxa" w:w="2494"/>
          </w:tcPr>
          <w:p>
            <w:pPr>
              <w:spacing w:before="0" w:after="0" w:line="264" w:lineRule="auto"/>
            </w:pPr>
            <w:r>
              <w:rPr>
                <w:rFonts w:ascii="Arial" w:hAnsi="Arial" w:cs="Arial" w:eastAsia="Arial"/>
                <w:color w:val="0E1E3A"/>
                <w:sz w:val="17"/>
                <w:szCs w:val="17"/>
              </w:rPr>
              <w:t>SHARPE RATIO5</w:t>
            </w:r>
          </w:p>
        </w:tc>
        <w:tc>
          <w:tcPr>
            <w:tcW w:type="dxa" w:w="2494"/>
          </w:tcPr>
          <w:p>
            <w:pPr>
              <w:spacing w:before="0" w:after="0" w:line="264" w:lineRule="auto"/>
            </w:pPr>
            <w:r>
              <w:rPr>
                <w:rFonts w:ascii="Arial" w:hAnsi="Arial" w:cs="Arial" w:eastAsia="Arial"/>
                <w:color w:val="0E1E3A"/>
                <w:sz w:val="17"/>
                <w:szCs w:val="17"/>
              </w:rPr>
              <w:t>-4.66</w:t>
            </w:r>
          </w:p>
        </w:tc>
        <w:tc>
          <w:tcPr>
            <w:tcW w:type="dxa" w:w="2494"/>
          </w:tcPr>
          <w:p>
            <w:pPr>
              <w:spacing w:before="0" w:after="0" w:line="264" w:lineRule="auto"/>
            </w:pPr>
            <w:r>
              <w:rPr>
                <w:rFonts w:ascii="Arial" w:hAnsi="Arial" w:cs="Arial" w:eastAsia="Arial"/>
                <w:color w:val="0E1E3A"/>
                <w:sz w:val="17"/>
                <w:szCs w:val="17"/>
              </w:rPr>
              <w:t>-2.92</w:t>
            </w:r>
          </w:p>
        </w:tc>
        <w:tc>
          <w:tcPr>
            <w:tcW w:type="dxa" w:w="2494"/>
          </w:tcPr>
          <w:p>
            <w:pPr>
              <w:spacing w:before="0" w:after="0" w:line="264" w:lineRule="auto"/>
            </w:pPr>
            <w:r>
              <w:rPr>
                <w:rFonts w:ascii="Arial" w:hAnsi="Arial" w:cs="Arial" w:eastAsia="Arial"/>
                <w:color w:val="0E1E3A"/>
                <w:sz w:val="17"/>
                <w:szCs w:val="17"/>
              </w:rPr>
              <w:t>-2.29</w:t>
            </w:r>
          </w:p>
        </w:tc>
      </w:tr>
      <w:tr>
        <w:tc>
          <w:tcPr>
            <w:tcW w:type="dxa" w:w="2494"/>
          </w:tcPr>
          <w:p>
            <w:pPr>
              <w:spacing w:before="0" w:after="0" w:line="264" w:lineRule="auto"/>
            </w:pPr>
            <w:r>
              <w:rPr>
                <w:rFonts w:ascii="Arial" w:hAnsi="Arial" w:cs="Arial" w:eastAsia="Arial"/>
                <w:color w:val="0E1E3A"/>
                <w:sz w:val="17"/>
                <w:szCs w:val="17"/>
              </w:rPr>
              <w:t>TRACKING ERROR6</w:t>
            </w:r>
          </w:p>
        </w:tc>
        <w:tc>
          <w:tcPr>
            <w:tcW w:type="dxa" w:w="2494"/>
          </w:tcPr>
          <w:p>
            <w:pPr>
              <w:spacing w:before="0" w:after="0" w:line="264" w:lineRule="auto"/>
            </w:pPr>
            <w:r>
              <w:rPr>
                <w:rFonts w:ascii="Arial" w:hAnsi="Arial" w:cs="Arial" w:eastAsia="Arial"/>
                <w:color w:val="0E1E3A"/>
                <w:sz w:val="17"/>
                <w:szCs w:val="17"/>
              </w:rPr>
              <w:t>14.37</w:t>
            </w:r>
          </w:p>
        </w:tc>
        <w:tc>
          <w:tcPr>
            <w:tcW w:type="dxa" w:w="2494"/>
          </w:tcPr>
          <w:p>
            <w:pPr>
              <w:spacing w:before="0" w:after="0" w:line="264" w:lineRule="auto"/>
            </w:pPr>
            <w:r>
              <w:rPr>
                <w:rFonts w:ascii="Arial" w:hAnsi="Arial" w:cs="Arial" w:eastAsia="Arial"/>
                <w:color w:val="0E1E3A"/>
                <w:sz w:val="17"/>
                <w:szCs w:val="17"/>
              </w:rPr>
              <w:t>12.81</w:t>
            </w:r>
          </w:p>
        </w:tc>
        <w:tc>
          <w:tcPr>
            <w:tcW w:type="dxa" w:w="2494"/>
          </w:tcPr>
          <w:p>
            <w:pPr>
              <w:spacing w:before="0" w:after="0" w:line="264" w:lineRule="auto"/>
            </w:pPr>
            <w:r>
              <w:rPr>
                <w:rFonts w:ascii="Arial" w:hAnsi="Arial" w:cs="Arial" w:eastAsia="Arial"/>
                <w:color w:val="0E1E3A"/>
                <w:sz w:val="17"/>
                <w:szCs w:val="17"/>
              </w:rPr>
              <w:t>10.16</w:t>
            </w:r>
          </w:p>
        </w:tc>
      </w:tr>
      <w:tr>
        <w:tc>
          <w:tcPr>
            <w:tcW w:type="dxa" w:w="2494"/>
          </w:tcPr>
          <w:p>
            <w:pPr>
              <w:spacing w:before="0" w:after="0" w:line="264" w:lineRule="auto"/>
            </w:pPr>
            <w:r>
              <w:rPr>
                <w:rFonts w:ascii="Arial" w:hAnsi="Arial" w:cs="Arial" w:eastAsia="Arial"/>
                <w:color w:val="0E1E3A"/>
                <w:sz w:val="17"/>
                <w:szCs w:val="17"/>
              </w:rPr>
              <w:t>BETA7</w:t>
            </w:r>
          </w:p>
        </w:tc>
        <w:tc>
          <w:tcPr>
            <w:tcW w:type="dxa" w:w="2494"/>
          </w:tcPr>
          <w:p>
            <w:pPr>
              <w:spacing w:before="0" w:after="0" w:line="264" w:lineRule="auto"/>
            </w:pPr>
            <w:r>
              <w:rPr>
                <w:rFonts w:ascii="Arial" w:hAnsi="Arial" w:cs="Arial" w:eastAsia="Arial"/>
                <w:color w:val="0E1E3A"/>
                <w:sz w:val="17"/>
                <w:szCs w:val="17"/>
              </w:rPr>
              <w:t>-0.65</w:t>
            </w:r>
          </w:p>
        </w:tc>
        <w:tc>
          <w:tcPr>
            <w:tcW w:type="dxa" w:w="2494"/>
          </w:tcPr>
          <w:p>
            <w:pPr>
              <w:spacing w:before="0" w:after="0" w:line="264" w:lineRule="auto"/>
            </w:pPr>
            <w:r>
              <w:rPr>
                <w:rFonts w:ascii="Arial" w:hAnsi="Arial" w:cs="Arial" w:eastAsia="Arial"/>
                <w:color w:val="0E1E3A"/>
                <w:sz w:val="17"/>
                <w:szCs w:val="17"/>
              </w:rPr>
              <w:t>-0.60</w:t>
            </w:r>
          </w:p>
        </w:tc>
        <w:tc>
          <w:tcPr>
            <w:tcW w:type="dxa" w:w="2494"/>
          </w:tcPr>
          <w:p>
            <w:pPr>
              <w:spacing w:before="0" w:after="0" w:line="264" w:lineRule="auto"/>
            </w:pPr>
            <w:r>
              <w:rPr>
                <w:rFonts w:ascii="Arial" w:hAnsi="Arial" w:cs="Arial" w:eastAsia="Arial"/>
                <w:color w:val="0E1E3A"/>
                <w:sz w:val="17"/>
                <w:szCs w:val="17"/>
              </w:rPr>
              <w:t>-0.61</w:t>
            </w:r>
          </w:p>
        </w:tc>
      </w:tr>
      <w:tr>
        <w:tc>
          <w:tcPr>
            <w:tcW w:type="dxa" w:w="2494"/>
          </w:tcPr>
          <w:p>
            <w:pPr>
              <w:spacing w:before="0" w:after="0" w:line="264" w:lineRule="auto"/>
            </w:pPr>
            <w:r>
              <w:rPr>
                <w:rFonts w:ascii="Arial" w:hAnsi="Arial" w:cs="Arial" w:eastAsia="Arial"/>
                <w:color w:val="0E1E3A"/>
                <w:sz w:val="17"/>
                <w:szCs w:val="17"/>
              </w:rPr>
              <w:t>ALPHA8</w:t>
            </w:r>
          </w:p>
        </w:tc>
        <w:tc>
          <w:tcPr>
            <w:tcW w:type="dxa" w:w="2494"/>
          </w:tcPr>
          <w:p>
            <w:pPr>
              <w:spacing w:before="0" w:after="0" w:line="264" w:lineRule="auto"/>
            </w:pPr>
            <w:r>
              <w:rPr>
                <w:rFonts w:ascii="Arial" w:hAnsi="Arial" w:cs="Arial" w:eastAsia="Arial"/>
                <w:color w:val="0E1E3A"/>
                <w:sz w:val="17"/>
                <w:szCs w:val="17"/>
              </w:rPr>
              <w:t>-0.71%</w:t>
            </w:r>
          </w:p>
        </w:tc>
        <w:tc>
          <w:tcPr>
            <w:tcW w:type="dxa" w:w="2494"/>
          </w:tcPr>
          <w:p>
            <w:pPr>
              <w:spacing w:before="0" w:after="0" w:line="264" w:lineRule="auto"/>
            </w:pPr>
            <w:r>
              <w:rPr>
                <w:rFonts w:ascii="Arial" w:hAnsi="Arial" w:cs="Arial" w:eastAsia="Arial"/>
                <w:color w:val="0E1E3A"/>
                <w:sz w:val="17"/>
                <w:szCs w:val="17"/>
              </w:rPr>
              <w:t>-0.41%</w:t>
            </w:r>
          </w:p>
        </w:tc>
        <w:tc>
          <w:tcPr>
            <w:tcW w:type="dxa" w:w="2494"/>
          </w:tcPr>
          <w:p>
            <w:pPr>
              <w:spacing w:before="0" w:after="0" w:line="264" w:lineRule="auto"/>
            </w:pPr>
            <w:r>
              <w:rPr>
                <w:rFonts w:ascii="Arial" w:hAnsi="Arial" w:cs="Arial" w:eastAsia="Arial"/>
                <w:color w:val="0E1E3A"/>
                <w:sz w:val="17"/>
                <w:szCs w:val="17"/>
              </w:rPr>
              <w:t>-0.26</w:t>
            </w:r>
          </w:p>
        </w:tc>
      </w:tr>
      <w:tr>
        <w:tc>
          <w:tcPr>
            <w:tcW w:type="dxa" w:w="2494"/>
          </w:tcPr>
          <w:p>
            <w:pPr>
              <w:spacing w:before="0" w:after="0" w:line="264" w:lineRule="auto"/>
            </w:pPr>
            <w:r>
              <w:rPr>
                <w:rFonts w:ascii="Arial" w:hAnsi="Arial" w:cs="Arial" w:eastAsia="Arial"/>
                <w:color w:val="0E1E3A"/>
                <w:sz w:val="17"/>
                <w:szCs w:val="17"/>
              </w:rPr>
              <w:t>INFORMATION INDEX9</w:t>
            </w:r>
          </w:p>
        </w:tc>
        <w:tc>
          <w:tcPr>
            <w:tcW w:type="dxa" w:w="2494"/>
          </w:tcPr>
          <w:p>
            <w:pPr>
              <w:spacing w:before="0" w:after="0" w:line="264" w:lineRule="auto"/>
            </w:pPr>
            <w:r>
              <w:rPr>
                <w:rFonts w:ascii="Arial" w:hAnsi="Arial" w:cs="Arial" w:eastAsia="Arial"/>
                <w:color w:val="0E1E3A"/>
                <w:sz w:val="17"/>
                <w:szCs w:val="17"/>
              </w:rPr>
              <w:t>-4.97%</w:t>
            </w:r>
          </w:p>
        </w:tc>
        <w:tc>
          <w:tcPr>
            <w:tcW w:type="dxa" w:w="2494"/>
          </w:tcPr>
          <w:p>
            <w:pPr>
              <w:spacing w:before="0" w:after="0" w:line="264" w:lineRule="auto"/>
            </w:pPr>
            <w:r>
              <w:rPr>
                <w:rFonts w:ascii="Arial" w:hAnsi="Arial" w:cs="Arial" w:eastAsia="Arial"/>
                <w:color w:val="0E1E3A"/>
                <w:sz w:val="17"/>
                <w:szCs w:val="17"/>
              </w:rPr>
              <w:t>-3.18%</w:t>
            </w:r>
          </w:p>
        </w:tc>
        <w:tc>
          <w:tcPr>
            <w:tcW w:type="dxa" w:w="2494"/>
          </w:tcPr>
          <w:p>
            <w:pPr>
              <w:spacing w:before="0" w:after="0" w:line="264" w:lineRule="auto"/>
            </w:pPr>
            <w:r>
              <w:rPr>
                <w:rFonts w:ascii="Arial" w:hAnsi="Arial" w:cs="Arial" w:eastAsia="Arial"/>
                <w:color w:val="0E1E3A"/>
                <w:sz w:val="17"/>
                <w:szCs w:val="17"/>
              </w:rPr>
              <w:t>-2.56</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1 April 2022 to 30 June 2022</w:t>
      </w:r>
      <w:r>
        <w:br/>
      </w:r>
      <w:r>
        <w:rPr>
          <w:rFonts w:ascii="Arial" w:hAnsi="Arial" w:cs="Arial" w:eastAsia="Arial"/>
          <w:color w:val="5A6478"/>
          <w:sz w:val="17"/>
          <w:szCs w:val="17"/>
        </w:rPr>
        <w:t>2. For the period from 1 January 2022 to 30 June 2022</w:t>
      </w:r>
      <w:r>
        <w:br/>
      </w:r>
      <w:r>
        <w:rPr>
          <w:rFonts w:ascii="Arial" w:hAnsi="Arial" w:cs="Arial" w:eastAsia="Arial"/>
          <w:color w:val="5A6478"/>
          <w:sz w:val="17"/>
          <w:szCs w:val="17"/>
        </w:rPr>
        <w:t>3. For the period from 1 July 2021 to 30 June 2022</w:t>
      </w:r>
      <w:r>
        <w:br/>
      </w:r>
      <w:r>
        <w:rPr>
          <w:rFonts w:ascii="Arial" w:hAnsi="Arial" w:cs="Arial" w:eastAsia="Arial"/>
          <w:color w:val="5A6478"/>
          <w:sz w:val="17"/>
          <w:szCs w:val="17"/>
        </w:rPr>
        <w:t>4.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5. Sharpe Ratio is a risk-adjusted performance measure. It is calculated as the difference as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6. Tracking Error is a measure of risk. It is calculated as the Standard Deviation between the Fund Manager's returns and the Benchmark's returns. The lower the Tracking Error, the lower the Fund Manager deviates from the Benchmark.</w:t>
      </w:r>
      <w:r>
        <w:br/>
      </w:r>
      <w:r>
        <w:rPr>
          <w:rFonts w:ascii="Arial" w:hAnsi="Arial" w:cs="Arial" w:eastAsia="Arial"/>
          <w:color w:val="5A6478"/>
          <w:sz w:val="17"/>
          <w:szCs w:val="17"/>
        </w:rPr>
        <w:t>7.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8. Alpha measures any excess return achieved by the Fund compared to the performance of the index.</w:t>
      </w:r>
      <w:r>
        <w:br/>
      </w:r>
      <w:r>
        <w:rPr>
          <w:rFonts w:ascii="Arial" w:hAnsi="Arial" w:cs="Arial" w:eastAsia="Arial"/>
          <w:color w:val="5A6478"/>
          <w:sz w:val="17"/>
          <w:szCs w:val="17"/>
        </w:rPr>
        <w:t>9. Information Ratio is a risk-adjusted performance measure. It is calculated as the active return of the Fund Manager, divided by its tracking error. The higher the Information ratio, the higher the Fund Manager ability 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2"/>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invested 34.4% of the Fund’s assets in leasing transactions across several types of equipment and companies. The leasing portfolio is mainly invested in the United States and is expected to generate a total return of 6.0% to 6.5% annually over the next five-year term.</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To diversify the Fund’s investments, the Fund Manager invested 23.8% of the Fund’s assets in income funds, ranging between private financing, trade finance and securitization, with an expected average annual return of 6.0% to 7.0%.</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invested 20.4% of the Fund’s assets in trade finance transactions with several counterparties and across various industries, mostly in the European continent. All executed transactions are of a short-term nature, with returns ranging between 6.0% to 7.0% annually.</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invested 12.2% of the Fund’s assets in Sukuk of different credit ratings, including sovereign, quasi-sovereign and corporate Sukuk. The Fund Manager has obtained credit facilities that support increasing the Portfolio’s returns to over 4.5% per annum, while maintaining a weighted average for classifying the Portfolio as an investment grade.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3"/>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INDUSTRIES</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80" w:line="312" w:lineRule="auto"/>
      </w:pPr>
      <w:r>
        <w:rPr>
          <w:rFonts w:ascii="Arial" w:hAnsi="Arial" w:cs="Arial" w:eastAsia="Arial"/>
          <w:color w:val="0E1E3A"/>
          <w:sz w:val="20"/>
          <w:szCs w:val="20"/>
        </w:rPr>
        <w:t>Rising interest rate situation, the pandemic overhang, and severe supply chain bottlenecks have pushed for a greater need in the equipment financing industry. Meanwhile, the Equipment Leasing &amp; Finance Foundation’s Monthly Confidence Index (MCI-EFI) stood at 50.9 in June, almost steady with the May index of 49.6. A reading above 50 indicates a positive business outlook. It is anticipated that the US equipment and software investment to expand by 4.2% in 2022. However, it is also expected that the pace of investment will slow before improving modestly during the second half of the year. The Fund Manager trusts that the ongoing increase in interest rates would support the financial health of the equipment finance companies as obligors would adopt to the new world rate order and margins would be built back in the markets.</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Rising commodity prices in consequence to Russia-Ukraine war and COVID-19 containment measures in East Asia placed further pressure on the prices of traded goods and on already strained supply chains.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As per Fitch Ratings, the biggest European commodity trade finance banks including Société Générale, ING, Rabobank, Crédit Agricole, Groupe BPCE and UBS already appear to be growing their lending to commodity trading companies amid unprecedented liquidity needs. As per the agency, record high commodity prices have induced increased margin requirements from central clearing counterparties and in turn, have led to higher demand for financing among commodity traders.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Boston Consulting Group (BCG) also notes that surge in prices of most key commodities including not only oil and gas but also soft commodities such as wheat is creating a larger revenue opportunity for trade finance market players.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believes that the higher demand for financing will allow Trade Finance firms to improve their level of profitability.</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Global Sukuk issuance had a stronger start in 2022, building on considerable momentum it had built up in 2021. According to Refinitiv, total Sukuk issuance reached a total of $51.6 billion in Q1 2022, compared to $43.4 billion issued in Q1 2021.</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Notably, the boost in Q1 issuance came from Sukuk issued by Saudi Arabian entities, which almost doubled from $9.3 billion in Q1 2021 to $17.9 billion in Q1 2022, outpacing the Sukuk issued by market leader Malaysia for the first time.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anticipates the Sukuk market to remain robust in the long term maintained by issuances from net oil importing sovereign issuers. Important stock of upcoming debt maturities and funding diversification strategies will also support this asset class.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44"/>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ITS BEGINNING*</w:t>
      </w:r>
    </w:p>
    <w:p>
      <w:pPr>
        <w:spacing w:before="0" w:after="80" w:line="240" w:lineRule="auto"/>
        <w:jc w:val="center"/>
      </w:pPr>
      <w:r>
        <w:drawing>
          <wp:inline xmlns:a="http://schemas.openxmlformats.org/drawingml/2006/main" xmlns:pic="http://schemas.openxmlformats.org/drawingml/2006/picture">
            <wp:extent cx="6336000" cy="2730378"/>
            <wp:docPr id="24" name="Picture 9045"/>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730378"/>
                    </a:xfrm>
                    <a:prstGeom prst="rect"/>
                  </pic:spPr>
                </pic:pic>
              </a:graphicData>
            </a:graphic>
          </wp:inline>
        </w:drawing>
      </w:r>
    </w:p>
    <w:p>
      <w:pPr>
        <w:spacing w:before="0" w:after="80" w:line="312" w:lineRule="auto"/>
      </w:pPr>
      <w:r>
        <w:rPr>
          <w:rFonts w:ascii="Arial" w:hAnsi="Arial" w:cs="Arial" w:eastAsia="Arial"/>
          <w:color w:val="5A6478"/>
          <w:sz w:val="17"/>
          <w:szCs w:val="17"/>
        </w:rPr>
        <w:t>* Prices as of 30 June 2022</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46"/>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47"/>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Q2 2022</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