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4"/>
            <wp:cNvGraphicFramePr/>
            <a:graphic>
              <a:graphicData uri="http://schemas.openxmlformats.org/drawingml/2006/picture">
                <pic:pic>
                  <pic:nvPicPr>
                    <pic:cNvPr id="9024" name="banner902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9,9491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506,726,122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33,253,502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‎6,56%‎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‎7,07%‎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2023م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 *</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2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3,6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506,726,122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470,410,138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‎0,43%‎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‎0,54%‎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‎0,59%‎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2,731,400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466,593,521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128,098,940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175,696,113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31,931,324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124,191,376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46,808,369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4"/>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2023م)</w:t>
            </w:r>
          </w:p>
        </w:tc>
        <w:tc>
          <w:tcPr>
            <w:tcW w:type="dxa" w:w="6860"/>
          </w:tcPr>
          <w:p>
            <w:pPr>
              <w:bidi w:val="1"/>
              <w:spacing w:before="0" w:after="0" w:line="276" w:lineRule="auto"/>
            </w:pPr>
            <w:r>
              <w:rPr>
                <w:rFonts w:ascii="Arial" w:hAnsi="Arial" w:cs="Arial" w:eastAsia="Arial"/>
                <w:b/>
                <w:bCs/>
                <w:color w:val="0E1E3A"/>
                <w:sz w:val="18"/>
                <w:szCs w:val="18"/>
                <w:rtl/>
              </w:rPr>
              <w:t>6,96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30 مارس 2023م إلى 30 يونيو 2023م)*</w:t>
            </w:r>
          </w:p>
        </w:tc>
        <w:tc>
          <w:tcPr>
            <w:tcW w:type="dxa" w:w="6860"/>
          </w:tcPr>
          <w:p>
            <w:pPr>
              <w:bidi w:val="1"/>
              <w:spacing w:before="0" w:after="0" w:line="276" w:lineRule="auto"/>
            </w:pPr>
            <w:r>
              <w:rPr>
                <w:rFonts w:ascii="Arial" w:hAnsi="Arial" w:cs="Arial" w:eastAsia="Arial"/>
                <w:b/>
                <w:bCs/>
                <w:color w:val="0E1E3A"/>
                <w:sz w:val="18"/>
                <w:szCs w:val="18"/>
              </w:rPr>
              <w:t>‎10,48%‎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2023م)</w:t>
            </w:r>
          </w:p>
        </w:tc>
        <w:tc>
          <w:tcPr>
            <w:tcW w:type="dxa" w:w="6860"/>
          </w:tcPr>
          <w:p>
            <w:pPr>
              <w:bidi w:val="1"/>
              <w:spacing w:before="0" w:after="0" w:line="276" w:lineRule="auto"/>
            </w:pPr>
            <w:r>
              <w:rPr>
                <w:rFonts w:ascii="Arial" w:hAnsi="Arial" w:cs="Arial" w:eastAsia="Arial"/>
                <w:b/>
                <w:bCs/>
                <w:color w:val="0E1E3A"/>
                <w:sz w:val="18"/>
                <w:szCs w:val="18"/>
              </w:rPr>
              <w:t>‎-30,40%‎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31 مارس 2023م = 6,30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7"/>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13,238,812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‎4,42%‎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10,364,639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يونيو 2023م)</w:t>
            </w:r>
          </w:p>
        </w:tc>
        <w:tc>
          <w:tcPr>
            <w:tcW w:type="dxa" w:w="6860"/>
          </w:tcPr>
          <w:p>
            <w:pPr>
              <w:bidi w:val="1"/>
              <w:spacing w:before="0" w:after="0" w:line="276" w:lineRule="auto"/>
            </w:pPr>
            <w:r>
              <w:rPr>
                <w:rFonts w:ascii="Arial" w:hAnsi="Arial" w:cs="Arial" w:eastAsia="Arial"/>
                <w:b/>
                <w:bCs/>
                <w:color w:val="0E1E3A"/>
                <w:sz w:val="18"/>
                <w:szCs w:val="18"/>
              </w:rPr>
              <w:t>‎3,15%‎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أبريل 2023م إلى 30 يونيو 2023م.</w:t>
      </w:r>
      <w:r>
        <w:br/>
      </w:r>
      <w:r>
        <w:rPr>
          <w:rFonts w:ascii="Arial" w:hAnsi="Arial" w:cs="Arial" w:eastAsia="Arial"/>
          <w:color w:val="5A6478"/>
          <w:sz w:val="17"/>
          <w:szCs w:val="17"/>
          <w:rtl/>
        </w:rPr>
        <w:t>** من 1 يناير 2023م إلى 30 يونيو 2023م.</w:t>
      </w:r>
      <w:r>
        <w:br/>
      </w:r>
      <w:r>
        <w:rPr>
          <w:rFonts w:ascii="Arial" w:hAnsi="Arial" w:cs="Arial" w:eastAsia="Arial"/>
          <w:color w:val="5A6478"/>
          <w:sz w:val="17"/>
          <w:szCs w:val="17"/>
          <w:rtl/>
        </w:rPr>
        <w:t>*** سعر الوحدة بتاريخ التوزيع 19 فبراير 2023م = 6,3496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‎10,48%‎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‎-30,40%‎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‎-20,92%‎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سعر الوحدة كما في 31 مارس 2023م = 6,30 ر.س.</w:t>
      </w:r>
      <w:r>
        <w:br/>
      </w:r>
      <w:r>
        <w:rPr>
          <w:rFonts w:ascii="Arial" w:hAnsi="Arial" w:cs="Arial" w:eastAsia="Arial"/>
          <w:color w:val="5A6478"/>
          <w:sz w:val="17"/>
          <w:szCs w:val="17"/>
          <w:rtl/>
        </w:rPr>
        <w:t>*** من تاريخ بدء الصندوق إلى نهاية الربع الثاني من العام 2023م.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فائدةالتمويل المضمون لليلة واحدة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9,7877</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9,9491</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‎1,65%‎</w:t>
            </w:r>
          </w:p>
        </w:tc>
        <w:tc>
          <w:tcPr>
            <w:tcW w:type="dxa" w:w="3326"/>
          </w:tcPr>
          <w:p>
            <w:pPr>
              <w:bidi w:val="1"/>
              <w:spacing w:before="0" w:after="0" w:line="264" w:lineRule="auto"/>
            </w:pPr>
            <w:r>
              <w:rPr>
                <w:rFonts w:ascii="Arial" w:hAnsi="Arial" w:cs="Arial" w:eastAsia="Arial"/>
                <w:color w:val="0E1E3A"/>
                <w:sz w:val="17"/>
                <w:szCs w:val="17"/>
              </w:rPr>
              <w:t>‎1,90%‎</w:t>
            </w:r>
            <w:r>
              <w:rPr>
                <w:rFonts w:ascii="Arial" w:hAnsi="Arial" w:cs="Arial" w:eastAsia="Arial"/>
                <w:color w:val="0E1E3A"/>
                <w:sz w:val="17"/>
                <w:szCs w:val="17"/>
                <w:rtl/>
              </w:rPr>
              <w:t>****</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كما في تاريخ 30 مارس 2023م.</w:t>
      </w:r>
      <w:r>
        <w:br/>
      </w:r>
      <w:r>
        <w:rPr>
          <w:rFonts w:ascii="Arial" w:hAnsi="Arial" w:cs="Arial" w:eastAsia="Arial"/>
          <w:color w:val="5A6478"/>
          <w:sz w:val="17"/>
          <w:szCs w:val="17"/>
          <w:rtl/>
        </w:rPr>
        <w:t>*** كما في تاريخ 30 يونيو 2023م.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‎8,21%‎</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‎1,99%‎</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‎1,65%‎</w:t>
            </w:r>
            <w:r>
              <w:rPr>
                <w:rFonts w:ascii="Arial" w:hAnsi="Arial" w:cs="Arial" w:eastAsia="Arial"/>
                <w:color w:val="0E1E3A"/>
                <w:sz w:val="17"/>
                <w:szCs w:val="17"/>
                <w:rtl/>
              </w:rPr>
              <w:t>*</w:t>
            </w:r>
          </w:p>
        </w:tc>
        <w:tc>
          <w:tcPr>
            <w:tcW w:type="dxa" w:w="1663"/>
          </w:tcPr>
          <w:p>
            <w:pPr>
              <w:bidi w:val="1"/>
              <w:spacing w:before="0" w:after="0" w:line="264" w:lineRule="auto"/>
            </w:pPr>
            <w:r>
              <w:rPr>
                <w:rFonts w:ascii="Arial" w:hAnsi="Arial" w:cs="Arial" w:eastAsia="Arial"/>
                <w:color w:val="0E1E3A"/>
                <w:sz w:val="17"/>
                <w:szCs w:val="17"/>
              </w:rPr>
              <w:t>‎2,90%‎</w:t>
            </w:r>
            <w:r>
              <w:rPr>
                <w:rFonts w:ascii="Arial" w:hAnsi="Arial" w:cs="Arial" w:eastAsia="Arial"/>
                <w:color w:val="0E1E3A"/>
                <w:sz w:val="17"/>
                <w:szCs w:val="17"/>
                <w:rtl/>
              </w:rPr>
              <w:t>**</w:t>
            </w:r>
          </w:p>
        </w:tc>
        <w:tc>
          <w:tcPr>
            <w:tcW w:type="dxa" w:w="1663"/>
          </w:tcPr>
          <w:p>
            <w:pPr>
              <w:bidi w:val="1"/>
              <w:spacing w:before="0" w:after="0" w:line="264" w:lineRule="auto"/>
            </w:pPr>
            <w:r>
              <w:rPr>
                <w:rFonts w:ascii="Arial" w:hAnsi="Arial" w:cs="Arial" w:eastAsia="Arial"/>
                <w:color w:val="0E1E3A"/>
                <w:sz w:val="17"/>
                <w:szCs w:val="17"/>
              </w:rPr>
              <w:t>‎5,03%‎</w:t>
            </w:r>
            <w:r>
              <w:rPr>
                <w:rFonts w:ascii="Arial" w:hAnsi="Arial" w:cs="Arial" w:eastAsia="Arial"/>
                <w:color w:val="0E1E3A"/>
                <w:sz w:val="17"/>
                <w:szCs w:val="17"/>
                <w:rtl/>
              </w:rPr>
              <w:t>***</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‎1,90%‎</w:t>
            </w:r>
          </w:p>
        </w:tc>
        <w:tc>
          <w:tcPr>
            <w:tcW w:type="dxa" w:w="1663"/>
          </w:tcPr>
          <w:p>
            <w:pPr>
              <w:bidi w:val="1"/>
              <w:spacing w:before="0" w:after="0" w:line="264" w:lineRule="auto"/>
            </w:pPr>
            <w:r>
              <w:rPr>
                <w:rFonts w:ascii="Arial" w:hAnsi="Arial" w:cs="Arial" w:eastAsia="Arial"/>
                <w:color w:val="0E1E3A"/>
                <w:sz w:val="17"/>
                <w:szCs w:val="17"/>
              </w:rPr>
              <w:t>‎4,04%‎</w:t>
            </w:r>
          </w:p>
        </w:tc>
        <w:tc>
          <w:tcPr>
            <w:tcW w:type="dxa" w:w="1663"/>
          </w:tcPr>
          <w:p>
            <w:pPr>
              <w:bidi w:val="1"/>
              <w:spacing w:before="0" w:after="0" w:line="264" w:lineRule="auto"/>
            </w:pPr>
            <w:r>
              <w:rPr>
                <w:rFonts w:ascii="Arial" w:hAnsi="Arial" w:cs="Arial" w:eastAsia="Arial"/>
                <w:color w:val="0E1E3A"/>
                <w:sz w:val="17"/>
                <w:szCs w:val="17"/>
              </w:rPr>
              <w:t>‎8,13%‎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‎-0,25%‎</w:t>
            </w:r>
          </w:p>
        </w:tc>
        <w:tc>
          <w:tcPr>
            <w:tcW w:type="dxa" w:w="1663"/>
          </w:tcPr>
          <w:p>
            <w:pPr>
              <w:bidi w:val="1"/>
              <w:spacing w:before="0" w:after="0" w:line="264" w:lineRule="auto"/>
            </w:pPr>
            <w:r>
              <w:rPr>
                <w:rFonts w:ascii="Arial" w:hAnsi="Arial" w:cs="Arial" w:eastAsia="Arial"/>
                <w:color w:val="0E1E3A"/>
                <w:sz w:val="17"/>
                <w:szCs w:val="17"/>
              </w:rPr>
              <w:t>‎-1,14%‎</w:t>
            </w:r>
          </w:p>
        </w:tc>
        <w:tc>
          <w:tcPr>
            <w:tcW w:type="dxa" w:w="1663"/>
          </w:tcPr>
          <w:p>
            <w:pPr>
              <w:bidi w:val="1"/>
              <w:spacing w:before="0" w:after="0" w:line="264" w:lineRule="auto"/>
            </w:pPr>
            <w:r>
              <w:rPr>
                <w:rFonts w:ascii="Arial" w:hAnsi="Arial" w:cs="Arial" w:eastAsia="Arial"/>
                <w:color w:val="0E1E3A"/>
                <w:sz w:val="17"/>
                <w:szCs w:val="17"/>
              </w:rPr>
              <w:t>‎-3,10%‎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31 مارس 2023م إلى 30 يونيو 2023م.</w:t>
      </w:r>
      <w:r>
        <w:br/>
      </w:r>
      <w:r>
        <w:rPr>
          <w:rFonts w:ascii="Arial" w:hAnsi="Arial" w:cs="Arial" w:eastAsia="Arial"/>
          <w:color w:val="5A6478"/>
          <w:sz w:val="17"/>
          <w:szCs w:val="17"/>
          <w:rtl/>
        </w:rPr>
        <w:t xml:space="preserve">** عن الفترة من 31 ديسمبر 2022م إلى 30 يونيو 2023م متضمنة التوزيعات النقدية بنسبة </w:t>
      </w:r>
      <w:r>
        <w:rPr>
          <w:rFonts w:ascii="Arial" w:hAnsi="Arial" w:cs="Arial" w:eastAsia="Arial"/>
          <w:color w:val="5A6478"/>
          <w:sz w:val="17"/>
          <w:szCs w:val="17"/>
        </w:rPr>
        <w:t>‎2,8%‎</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30 يونيو 2022م إلى 30 يونيو 2023م متضمنة توزيعات نقدية بنسبة </w:t>
      </w:r>
      <w:r>
        <w:rPr>
          <w:rFonts w:ascii="Arial" w:hAnsi="Arial" w:cs="Arial" w:eastAsia="Arial"/>
          <w:color w:val="5A6478"/>
          <w:sz w:val="17"/>
          <w:szCs w:val="17"/>
        </w:rPr>
        <w:t>‎5,4%‎</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3"/>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r>
              <w:rPr>
                <w:rFonts w:ascii="Arial" w:hAnsi="Arial" w:cs="Arial" w:eastAsia="Arial"/>
                <w:b/>
                <w:bCs/>
                <w:color w:val="FFFFFF"/>
                <w:sz w:val="17"/>
                <w:szCs w:val="17"/>
                <w:rtl/>
              </w:rPr>
              <w:t>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r>
              <w:rPr>
                <w:rFonts w:ascii="Arial" w:hAnsi="Arial" w:cs="Arial" w:eastAsia="Arial"/>
                <w:b/>
                <w:bCs/>
                <w:color w:val="FFFFFF"/>
                <w:sz w:val="17"/>
                <w:szCs w:val="17"/>
                <w:rtl/>
              </w:rPr>
              <w:t>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4</w:t>
            </w:r>
          </w:p>
        </w:tc>
        <w:tc>
          <w:tcPr>
            <w:tcW w:type="dxa" w:w="1663"/>
          </w:tcPr>
          <w:p>
            <w:pPr>
              <w:bidi w:val="1"/>
              <w:spacing w:before="0" w:after="0" w:line="264" w:lineRule="auto"/>
            </w:pPr>
            <w:r>
              <w:rPr>
                <w:rFonts w:ascii="Arial" w:hAnsi="Arial" w:cs="Arial" w:eastAsia="Arial"/>
                <w:color w:val="0E1E3A"/>
                <w:sz w:val="17"/>
                <w:szCs w:val="17"/>
                <w:rtl/>
              </w:rPr>
              <w:t>13,15</w:t>
            </w:r>
          </w:p>
        </w:tc>
        <w:tc>
          <w:tcPr>
            <w:tcW w:type="dxa" w:w="1663"/>
          </w:tcPr>
          <w:p>
            <w:pPr>
              <w:bidi w:val="1"/>
              <w:spacing w:before="0" w:after="0" w:line="264" w:lineRule="auto"/>
            </w:pPr>
            <w:r>
              <w:rPr>
                <w:rFonts w:ascii="Arial" w:hAnsi="Arial" w:cs="Arial" w:eastAsia="Arial"/>
                <w:color w:val="0E1E3A"/>
                <w:sz w:val="17"/>
                <w:szCs w:val="17"/>
                <w:rtl/>
              </w:rPr>
              <w:t>21,85</w:t>
            </w:r>
          </w:p>
        </w:tc>
        <w:tc>
          <w:tcPr>
            <w:tcW w:type="dxa" w:w="1663"/>
          </w:tcPr>
          <w:p>
            <w:pPr>
              <w:bidi w:val="1"/>
              <w:spacing w:before="0" w:after="0" w:line="264" w:lineRule="auto"/>
            </w:pPr>
            <w:r>
              <w:rPr>
                <w:rFonts w:ascii="Arial" w:hAnsi="Arial" w:cs="Arial" w:eastAsia="Arial"/>
                <w:color w:val="0E1E3A"/>
                <w:sz w:val="17"/>
                <w:szCs w:val="17"/>
                <w:rtl/>
              </w:rPr>
              <w:t>20,05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5</w:t>
            </w:r>
          </w:p>
        </w:tc>
        <w:tc>
          <w:tcPr>
            <w:tcW w:type="dxa" w:w="1663"/>
          </w:tcPr>
          <w:p>
            <w:pPr>
              <w:bidi w:val="1"/>
              <w:spacing w:before="0" w:after="0" w:line="264" w:lineRule="auto"/>
            </w:pPr>
            <w:r>
              <w:rPr>
                <w:rFonts w:ascii="Arial" w:hAnsi="Arial" w:cs="Arial" w:eastAsia="Arial"/>
                <w:color w:val="0E1E3A"/>
                <w:sz w:val="17"/>
                <w:szCs w:val="17"/>
                <w:rtl/>
              </w:rPr>
              <w:t>3.42</w:t>
            </w:r>
          </w:p>
        </w:tc>
        <w:tc>
          <w:tcPr>
            <w:tcW w:type="dxa" w:w="1663"/>
          </w:tcPr>
          <w:p>
            <w:pPr>
              <w:bidi w:val="1"/>
              <w:spacing w:before="0" w:after="0" w:line="264" w:lineRule="auto"/>
            </w:pPr>
            <w:r>
              <w:rPr>
                <w:rFonts w:ascii="Arial" w:hAnsi="Arial" w:cs="Arial" w:eastAsia="Arial"/>
                <w:color w:val="0E1E3A"/>
                <w:sz w:val="17"/>
                <w:szCs w:val="17"/>
                <w:rtl/>
              </w:rPr>
              <w:t>2,09</w:t>
            </w:r>
          </w:p>
        </w:tc>
        <w:tc>
          <w:tcPr>
            <w:tcW w:type="dxa" w:w="1663"/>
          </w:tcPr>
          <w:p>
            <w:pPr>
              <w:bidi w:val="1"/>
              <w:spacing w:before="0" w:after="0" w:line="264" w:lineRule="auto"/>
            </w:pPr>
            <w:r>
              <w:rPr>
                <w:rFonts w:ascii="Arial" w:hAnsi="Arial" w:cs="Arial" w:eastAsia="Arial"/>
                <w:color w:val="0E1E3A"/>
                <w:sz w:val="17"/>
                <w:szCs w:val="17"/>
                <w:rtl/>
              </w:rPr>
              <w:t>-0,04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6</w:t>
            </w:r>
          </w:p>
        </w:tc>
        <w:tc>
          <w:tcPr>
            <w:tcW w:type="dxa" w:w="1663"/>
          </w:tcPr>
          <w:p>
            <w:pPr>
              <w:bidi w:val="1"/>
              <w:spacing w:before="0" w:after="0" w:line="264" w:lineRule="auto"/>
            </w:pPr>
            <w:r>
              <w:rPr>
                <w:rFonts w:ascii="Arial" w:hAnsi="Arial" w:cs="Arial" w:eastAsia="Arial"/>
                <w:color w:val="0E1E3A"/>
                <w:sz w:val="17"/>
                <w:szCs w:val="17"/>
                <w:rtl/>
              </w:rPr>
              <w:t>13,12</w:t>
            </w:r>
          </w:p>
        </w:tc>
        <w:tc>
          <w:tcPr>
            <w:tcW w:type="dxa" w:w="1663"/>
          </w:tcPr>
          <w:p>
            <w:pPr>
              <w:bidi w:val="1"/>
              <w:spacing w:before="0" w:after="0" w:line="264" w:lineRule="auto"/>
            </w:pPr>
            <w:r>
              <w:rPr>
                <w:rFonts w:ascii="Arial" w:hAnsi="Arial" w:cs="Arial" w:eastAsia="Arial"/>
                <w:color w:val="0E1E3A"/>
                <w:sz w:val="17"/>
                <w:szCs w:val="17"/>
                <w:rtl/>
              </w:rPr>
              <w:t>21,85</w:t>
            </w:r>
          </w:p>
        </w:tc>
        <w:tc>
          <w:tcPr>
            <w:tcW w:type="dxa" w:w="1663"/>
          </w:tcPr>
          <w:p>
            <w:pPr>
              <w:bidi w:val="1"/>
              <w:spacing w:before="0" w:after="0" w:line="264" w:lineRule="auto"/>
            </w:pPr>
            <w:r>
              <w:rPr>
                <w:rFonts w:ascii="Arial" w:hAnsi="Arial" w:cs="Arial" w:eastAsia="Arial"/>
                <w:color w:val="0E1E3A"/>
                <w:sz w:val="17"/>
                <w:szCs w:val="17"/>
                <w:rtl/>
              </w:rPr>
              <w:t>20,08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7</w:t>
            </w:r>
          </w:p>
        </w:tc>
        <w:tc>
          <w:tcPr>
            <w:tcW w:type="dxa" w:w="1663"/>
          </w:tcPr>
          <w:p>
            <w:pPr>
              <w:bidi w:val="1"/>
              <w:spacing w:before="0" w:after="0" w:line="264" w:lineRule="auto"/>
            </w:pPr>
            <w:r>
              <w:rPr>
                <w:rFonts w:ascii="Arial" w:hAnsi="Arial" w:cs="Arial" w:eastAsia="Arial"/>
                <w:color w:val="0E1E3A"/>
                <w:sz w:val="17"/>
                <w:szCs w:val="17"/>
                <w:rtl/>
              </w:rPr>
              <w:t>0,22</w:t>
            </w:r>
          </w:p>
        </w:tc>
        <w:tc>
          <w:tcPr>
            <w:tcW w:type="dxa" w:w="1663"/>
          </w:tcPr>
          <w:p>
            <w:pPr>
              <w:bidi w:val="1"/>
              <w:spacing w:before="0" w:after="0" w:line="264" w:lineRule="auto"/>
            </w:pPr>
            <w:r>
              <w:rPr>
                <w:rFonts w:ascii="Arial" w:hAnsi="Arial" w:cs="Arial" w:eastAsia="Arial"/>
                <w:color w:val="0E1E3A"/>
                <w:sz w:val="17"/>
                <w:szCs w:val="17"/>
                <w:rtl/>
              </w:rPr>
              <w:t>-0,45</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8</w:t>
            </w:r>
          </w:p>
        </w:tc>
        <w:tc>
          <w:tcPr>
            <w:tcW w:type="dxa" w:w="1663"/>
          </w:tcPr>
          <w:p>
            <w:pPr>
              <w:bidi w:val="1"/>
              <w:spacing w:before="0" w:after="0" w:line="264" w:lineRule="auto"/>
            </w:pPr>
            <w:r>
              <w:rPr>
                <w:rFonts w:ascii="Arial" w:hAnsi="Arial" w:cs="Arial" w:eastAsia="Arial"/>
                <w:color w:val="0E1E3A"/>
                <w:sz w:val="17"/>
                <w:szCs w:val="17"/>
                <w:rtl/>
              </w:rPr>
              <w:t>0,33</w:t>
            </w:r>
          </w:p>
        </w:tc>
        <w:tc>
          <w:tcPr>
            <w:tcW w:type="dxa" w:w="1663"/>
          </w:tcPr>
          <w:p>
            <w:pPr>
              <w:bidi w:val="1"/>
              <w:spacing w:before="0" w:after="0" w:line="264" w:lineRule="auto"/>
            </w:pPr>
            <w:r>
              <w:rPr>
                <w:rFonts w:ascii="Arial" w:hAnsi="Arial" w:cs="Arial" w:eastAsia="Arial"/>
                <w:color w:val="0E1E3A"/>
                <w:sz w:val="17"/>
                <w:szCs w:val="17"/>
                <w:rtl/>
              </w:rPr>
              <w:t>0,34</w:t>
            </w:r>
          </w:p>
        </w:tc>
        <w:tc>
          <w:tcPr>
            <w:tcW w:type="dxa" w:w="1663"/>
          </w:tcPr>
          <w:p>
            <w:pPr>
              <w:bidi w:val="1"/>
              <w:spacing w:before="0" w:after="0" w:line="264" w:lineRule="auto"/>
            </w:pPr>
            <w:r>
              <w:rPr>
                <w:rFonts w:ascii="Arial" w:hAnsi="Arial" w:cs="Arial" w:eastAsia="Arial"/>
                <w:color w:val="0E1E3A"/>
                <w:sz w:val="17"/>
                <w:szCs w:val="17"/>
                <w:rtl/>
              </w:rPr>
              <w:t>-4,00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9</w:t>
            </w:r>
          </w:p>
        </w:tc>
        <w:tc>
          <w:tcPr>
            <w:tcW w:type="dxa" w:w="1663"/>
          </w:tcPr>
          <w:p>
            <w:pPr>
              <w:bidi w:val="1"/>
              <w:spacing w:before="0" w:after="0" w:line="264" w:lineRule="auto"/>
            </w:pPr>
            <w:r>
              <w:rPr>
                <w:rFonts w:ascii="Arial" w:hAnsi="Arial" w:cs="Arial" w:eastAsia="Arial"/>
                <w:color w:val="0E1E3A"/>
                <w:sz w:val="17"/>
                <w:szCs w:val="17"/>
                <w:rtl/>
              </w:rPr>
              <w:t>2,54</w:t>
            </w:r>
          </w:p>
        </w:tc>
        <w:tc>
          <w:tcPr>
            <w:tcW w:type="dxa" w:w="1663"/>
          </w:tcPr>
          <w:p>
            <w:pPr>
              <w:bidi w:val="1"/>
              <w:spacing w:before="0" w:after="0" w:line="264" w:lineRule="auto"/>
            </w:pPr>
            <w:r>
              <w:rPr>
                <w:rFonts w:ascii="Arial" w:hAnsi="Arial" w:cs="Arial" w:eastAsia="Arial"/>
                <w:color w:val="0E1E3A"/>
                <w:sz w:val="17"/>
                <w:szCs w:val="17"/>
                <w:rtl/>
              </w:rPr>
              <w:t>1,54</w:t>
            </w:r>
          </w:p>
        </w:tc>
        <w:tc>
          <w:tcPr>
            <w:tcW w:type="dxa" w:w="1663"/>
          </w:tcPr>
          <w:p>
            <w:pPr>
              <w:bidi w:val="1"/>
              <w:spacing w:before="0" w:after="0" w:line="264" w:lineRule="auto"/>
            </w:pPr>
            <w:r>
              <w:rPr>
                <w:rFonts w:ascii="Arial" w:hAnsi="Arial" w:cs="Arial" w:eastAsia="Arial"/>
                <w:color w:val="0E1E3A"/>
                <w:sz w:val="17"/>
                <w:szCs w:val="17"/>
                <w:rtl/>
              </w:rPr>
              <w:t>-0,20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31 مارس 2023م إلى 30 يونيو 2023م.</w:t>
      </w:r>
      <w:r>
        <w:br/>
      </w:r>
      <w:r>
        <w:rPr>
          <w:rFonts w:ascii="Arial" w:hAnsi="Arial" w:cs="Arial" w:eastAsia="Arial"/>
          <w:color w:val="5A6478"/>
          <w:sz w:val="17"/>
          <w:szCs w:val="17"/>
          <w:rtl/>
        </w:rPr>
        <w:t>2. عن الفترة من 31 ديسمبر 2022م إلى 30 مارس 2023م، 31 مارس 2023م إلى 30 يونيو 2023م.</w:t>
      </w:r>
      <w:r>
        <w:br/>
      </w:r>
      <w:r>
        <w:rPr>
          <w:rFonts w:ascii="Arial" w:hAnsi="Arial" w:cs="Arial" w:eastAsia="Arial"/>
          <w:color w:val="5A6478"/>
          <w:sz w:val="17"/>
          <w:szCs w:val="17"/>
          <w:rtl/>
        </w:rPr>
        <w:t>3. عن الفترة من 30 يونيو 2022م إلى 30 يونيو 2023م.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4"/>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يوجد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يبدو أن طلب الشركات الأمريكية على المعدات الإنتاجية لم يتأثر سلبًا بالارتفاع الثابت في أسعار الفائدة على القروض قصيرة الأجل والضغوط التضخمية المستمرة.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ووفقًا لتقرير التوقعات المستقبلية لتأجير المعدات للعام 2023م الذي نشرته الجمعية الأمريكية لتأجير وتمويل المعدات، اشتملت قطاعات المعدات الخمسة الأعلى أداءً للعام 2023م على: البناء والإنشاءات، والآلات، والمعدات الطبية، والشاحنات/القاطرات، والتقنيات المتطورة/أجهزة الكمبيوتر. والجدير بالذكر أن قطاع البناء والإنشاءات كان الأفضل وفقًا للدراسة التي أجريت، وحل في المرتبة الأولى للسنة العاشرة على التوالي. ولا تزال التوقعات المستقبلية لقطاع البناء والإنشاءات جيدة كما يتبين من الطلب المرتفع على مشاريع الطرق السريعة والمشاريع التجارية والمدنية.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إلى جانب ذلك، أظهر مؤشر التأجير والتمويل الشهري (أم أل أف آي-25) الذي تصدره جمعية تأجير وتمويل المعدات في الولايات المتحدة الأمريكية ويشتمل على بيانات النشاط الاقتصادي لخمس وعشرين شركة تمثل شرائحًا مختلفة من قطاع تمويل المعدات الذي تقدر قيمته بما مجموعه 1 ترليون دولار أمريكي، أن الحجم العام للأعمال الجديدة لشركات المؤشر لشهر مايو 2023م قد بلغ 9,5 مليار دولار أمريكي، بارتفاع بنسبة </w:t>
      </w:r>
      <w:r>
        <w:rPr>
          <w:rFonts w:ascii="Arial" w:hAnsi="Arial" w:cs="Arial" w:eastAsia="Arial"/>
          <w:color w:val="0E1E3A"/>
          <w:sz w:val="20"/>
          <w:szCs w:val="20"/>
        </w:rPr>
        <w:t>‎1,0%‎</w:t>
      </w:r>
      <w:r>
        <w:rPr>
          <w:rFonts w:ascii="Arial" w:hAnsi="Arial" w:cs="Arial" w:eastAsia="Arial"/>
          <w:color w:val="0E1E3A"/>
          <w:sz w:val="20"/>
          <w:szCs w:val="20"/>
          <w:rtl/>
        </w:rPr>
        <w:t xml:space="preserve"> مقارنةً بحجم الأعمال الجديدة لشهر مايو 2022م.</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أعلن مؤتمر الأمم المتحدة للتجارة والتنمية (الأونكتاد) أن حجم التجارة العالمية قد وصل إلى مستوى قياسي غير مسبوق في العام 2022م عند 32 ترليون دولار أمريكي – حيث بلغ حجم التجارة في السلع حوالي 25 ترليون دولار أمريكي (بزيادة تقدر بحوالي </w:t>
      </w:r>
      <w:r>
        <w:rPr>
          <w:rFonts w:ascii="Arial" w:hAnsi="Arial" w:cs="Arial" w:eastAsia="Arial"/>
          <w:color w:val="0E1E3A"/>
          <w:sz w:val="20"/>
          <w:szCs w:val="20"/>
        </w:rPr>
        <w:t>‎10%‎</w:t>
      </w:r>
      <w:r>
        <w:rPr>
          <w:rFonts w:ascii="Arial" w:hAnsi="Arial" w:cs="Arial" w:eastAsia="Arial"/>
          <w:color w:val="0E1E3A"/>
          <w:sz w:val="20"/>
          <w:szCs w:val="20"/>
          <w:rtl/>
        </w:rPr>
        <w:t xml:space="preserve"> مقارنةً بالعام 2021م)، بينما بلغ حجم التجارة في الخدمات حوالي 7 ترليون دولار أمريكي (بزيادة تقدر بحوالي </w:t>
      </w:r>
      <w:r>
        <w:rPr>
          <w:rFonts w:ascii="Arial" w:hAnsi="Arial" w:cs="Arial" w:eastAsia="Arial"/>
          <w:color w:val="0E1E3A"/>
          <w:sz w:val="20"/>
          <w:szCs w:val="20"/>
        </w:rPr>
        <w:t>‎15%‎</w:t>
      </w:r>
      <w:r>
        <w:rPr>
          <w:rFonts w:ascii="Arial" w:hAnsi="Arial" w:cs="Arial" w:eastAsia="Arial"/>
          <w:color w:val="0E1E3A"/>
          <w:sz w:val="20"/>
          <w:szCs w:val="20"/>
          <w:rtl/>
        </w:rPr>
        <w:t xml:space="preserve"> مقارنةً بالعام السابق).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لما ورد في أحدث تقرير صادر من الأونكتاد حول مستجدات التجارة العالمية، حققت التجارة العالمية نموًا إيجابيًا في السلع والخدمات خلال الربع الأول 2023م، حيث تعافت تجارة السلع العالمية من حيث الحجم والقيمة بعد تراجعها في النصف الثاني 2022م، ونمت تجارة السلع في الأشهر الثلاثة الأولى من العام 2023م بنسبة </w:t>
      </w:r>
      <w:r>
        <w:rPr>
          <w:rFonts w:ascii="Arial" w:hAnsi="Arial" w:cs="Arial" w:eastAsia="Arial"/>
          <w:color w:val="0E1E3A"/>
          <w:sz w:val="20"/>
          <w:szCs w:val="20"/>
        </w:rPr>
        <w:t>‎1.9%‎</w:t>
      </w:r>
      <w:r>
        <w:rPr>
          <w:rFonts w:ascii="Arial" w:hAnsi="Arial" w:cs="Arial" w:eastAsia="Arial"/>
          <w:color w:val="0E1E3A"/>
          <w:sz w:val="20"/>
          <w:szCs w:val="20"/>
          <w:rtl/>
        </w:rPr>
        <w:t xml:space="preserve"> مقارنةً بالربع الأول 2022م، بزيادةٍ بلغت 100 مليار دولار أمريكي. كما نمت أيضًا تجارة الخدمات العالمية بحوالي 50 مليار دولار أمريكي، بارتفاع بحوالي </w:t>
      </w:r>
      <w:r>
        <w:rPr>
          <w:rFonts w:ascii="Arial" w:hAnsi="Arial" w:cs="Arial" w:eastAsia="Arial"/>
          <w:color w:val="0E1E3A"/>
          <w:sz w:val="20"/>
          <w:szCs w:val="20"/>
        </w:rPr>
        <w:t>‎2.8%‎</w:t>
      </w:r>
      <w:r>
        <w:rPr>
          <w:rFonts w:ascii="Arial" w:hAnsi="Arial" w:cs="Arial" w:eastAsia="Arial"/>
          <w:color w:val="0E1E3A"/>
          <w:sz w:val="20"/>
          <w:szCs w:val="20"/>
          <w:rtl/>
        </w:rPr>
        <w:t xml:space="preserve"> مقارنةً بربع السنة السابق.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لا تزال فجوة تمويل التجارة العالمية آخذةً في الاتساع، ومن المتوقع أن تكون قد تجاوزت عتبة 2 ترليون دولار أمريكي (البنك الآسيوي للتنمية). ولا بد من معالجة نقاط الضعف في التجارة العالمية وسلاسل الإمداد والتموين من خلال التحويل الرقمي للتجارة، واتباع ممارسات تجارية صديقة للبيئة للحد من انبعاثات الغازات الدفيئة وضمان درجة أكبر من الشفافية للحصول على التمويل، إلى جانب تحفيز درجة أكبر من الاشتمال المالي في النظام التجاري العالمي.</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لوكالة فيتش رايتنغز، وصل حجم الصكوك المتداولة عالميًا إلى 765.3 مليار دولار أمريكي في العام 2022م، بارتفاع بنسبة </w:t>
      </w:r>
      <w:r>
        <w:rPr>
          <w:rFonts w:ascii="Arial" w:hAnsi="Arial" w:cs="Arial" w:eastAsia="Arial"/>
          <w:color w:val="0E1E3A"/>
          <w:sz w:val="20"/>
          <w:szCs w:val="20"/>
        </w:rPr>
        <w:t>‎7.6%‎</w:t>
      </w:r>
      <w:r>
        <w:rPr>
          <w:rFonts w:ascii="Arial" w:hAnsi="Arial" w:cs="Arial" w:eastAsia="Arial"/>
          <w:color w:val="0E1E3A"/>
          <w:sz w:val="20"/>
          <w:szCs w:val="20"/>
          <w:rtl/>
        </w:rPr>
        <w:t xml:space="preserve"> عما كان عليه قبل سنة. ولا يزال المصدرون الرئيسيون يقتصرون على الحكومات والكيانات متعددة الأطراف.</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وحسبما أعلنته ستاندرد آند بورز جلوبال رايتنجز، من المتوقع أن يستقر حجم إصدارات الصكوك العالمية بين 170 مليار دولار أمريكي إلى 175 مليار دولار أمريكي في العام 2023م بعد أن كان قد شهد تراجعًا بنسبة </w:t>
      </w:r>
      <w:r>
        <w:rPr>
          <w:rFonts w:ascii="Arial" w:hAnsi="Arial" w:cs="Arial" w:eastAsia="Arial"/>
          <w:color w:val="0E1E3A"/>
          <w:sz w:val="20"/>
          <w:szCs w:val="20"/>
        </w:rPr>
        <w:t>‎10%‎</w:t>
      </w:r>
      <w:r>
        <w:rPr>
          <w:rFonts w:ascii="Arial" w:hAnsi="Arial" w:cs="Arial" w:eastAsia="Arial"/>
          <w:color w:val="0E1E3A"/>
          <w:sz w:val="20"/>
          <w:szCs w:val="20"/>
          <w:rtl/>
        </w:rPr>
        <w:t xml:space="preserve"> إلى 178 مليار دولار أمريكي في العام 2022م. كذلك من المتوقع أن يتجاوز حجم الإصدارات الجديدة حجم إصدارات الصكوك المستحقة، وبالتالي من المتوقع أن يكون تراجع حجم الصكوك في العام 2023م أبطأ مقارنةً بالعام 2022م.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أما من حيث الأداء، وبعد أن شهدت أسواق الصكوك العالمية أسوأ سنة لها منذ عشرات السنين في العام 2022م، تعافت سوق الصكوك بشكل بسيط حتى نهاية شهر يونيو 2023م، وحقق مؤشر داو جونز للصكوك (بدون إعادة استثمار) حوالي </w:t>
      </w:r>
      <w:r>
        <w:rPr>
          <w:rFonts w:ascii="Arial" w:hAnsi="Arial" w:cs="Arial" w:eastAsia="Arial"/>
          <w:color w:val="0E1E3A"/>
          <w:sz w:val="20"/>
          <w:szCs w:val="20"/>
        </w:rPr>
        <w:t>‎2.1%‎</w:t>
      </w:r>
      <w:r>
        <w:rPr>
          <w:rFonts w:ascii="Arial" w:hAnsi="Arial" w:cs="Arial" w:eastAsia="Arial"/>
          <w:color w:val="0E1E3A"/>
          <w:sz w:val="20"/>
          <w:szCs w:val="20"/>
          <w:rtl/>
        </w:rPr>
        <w:t xml:space="preserve"> من بداية السنة حتى تاريخه، بينما حقق مؤشر ستاندرد آند بورز للصكوك الخليجية مكاسبًا بنسبة </w:t>
      </w:r>
      <w:r>
        <w:rPr>
          <w:rFonts w:ascii="Arial" w:hAnsi="Arial" w:cs="Arial" w:eastAsia="Arial"/>
          <w:color w:val="0E1E3A"/>
          <w:sz w:val="20"/>
          <w:szCs w:val="20"/>
        </w:rPr>
        <w:t>‎1.8%‎</w:t>
      </w:r>
      <w:r>
        <w:rPr>
          <w:rFonts w:ascii="Arial" w:hAnsi="Arial" w:cs="Arial" w:eastAsia="Arial"/>
          <w:color w:val="0E1E3A"/>
          <w:sz w:val="20"/>
          <w:szCs w:val="20"/>
          <w:rtl/>
        </w:rPr>
        <w:t xml:space="preserve"> خلال الفترة نفسها.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 *</w:t>
      </w:r>
    </w:p>
    <w:p>
      <w:pPr>
        <w:bidi w:val="1"/>
        <w:spacing w:before="0" w:after="80" w:line="240" w:lineRule="auto"/>
        <w:jc w:val="center"/>
      </w:pPr>
      <w:r>
        <w:drawing>
          <wp:inline xmlns:a="http://schemas.openxmlformats.org/drawingml/2006/main" xmlns:pic="http://schemas.openxmlformats.org/drawingml/2006/picture">
            <wp:extent cx="6336000" cy="2816000"/>
            <wp:docPr id="24" name="Picture 9047"/>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22 يونيو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49"/>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الثاني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