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4"/>
            <wp:cNvGraphicFramePr/>
            <a:graphic>
              <a:graphicData uri="http://schemas.openxmlformats.org/drawingml/2006/picture">
                <pic:pic>
                  <pic:nvPicPr>
                    <pic:cNvPr id="9024" name="banner9024.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25"/>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(“the Fund”) is a closed-ended Shari’a-compliant investment traded fund established in accordance with the applicable laws and regulations of the Kingdom of Saudi Arabia and regulated by the Capital Market Authority (CMA). The Fund’s investment objective is to generate periodic income to investors by investing in Shari’a-compliant income generating assets. The Fund Manager “Alkhabeer Capital” plans to invest in Sukuk, trade finance transactions, leasing transactions,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2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4700</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AKDICIF:AB</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Fund</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9.9491</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506,726,122</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 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w:t>
            </w:r>
          </w:p>
        </w:tc>
        <w:tc>
          <w:tcPr>
            <w:tcW w:type="dxa" w:w="6860"/>
          </w:tcPr>
          <w:p>
            <w:pPr>
              <w:spacing w:before="0" w:after="0" w:line="276" w:lineRule="auto"/>
            </w:pPr>
            <w:r>
              <w:rPr>
                <w:rFonts w:ascii="Arial" w:hAnsi="Arial" w:cs="Arial" w:eastAsia="Arial"/>
                <w:b/>
                <w:bCs/>
                <w:color w:val="0E1E3A"/>
                <w:sz w:val="18"/>
                <w:szCs w:val="18"/>
              </w:rPr>
              <w:t>SAR 33,253,502</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6.56%</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7.07%</w:t>
            </w:r>
          </w:p>
        </w:tc>
      </w:tr>
      <w:tr>
        <w:tc>
          <w:tcPr>
            <w:tcW w:type="dxa" w:w="3118"/>
            <w:shd w:val="clear" w:color="auto" w:fill="F3F6FB"/>
          </w:tcPr>
          <w:p>
            <w:pPr>
              <w:spacing w:before="0" w:after="0" w:line="276" w:lineRule="auto"/>
            </w:pPr>
            <w:r>
              <w:rPr>
                <w:rFonts w:ascii="Arial" w:hAnsi="Arial" w:cs="Arial" w:eastAsia="Arial"/>
                <w:color w:val="5A6478"/>
                <w:sz w:val="18"/>
                <w:szCs w:val="18"/>
              </w:rPr>
              <w:t>PERCENTAGE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0.37%</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91 Days</w:t>
            </w:r>
          </w:p>
        </w:tc>
      </w:tr>
    </w:tbl>
    <w:p>
      <w:pPr>
        <w:spacing w:before="0" w:after="40" w:line="300" w:lineRule="auto"/>
      </w:pPr>
    </w:p>
    <w:p>
      <w:pPr>
        <w:spacing w:before="0" w:after="80" w:line="312" w:lineRule="auto"/>
      </w:pPr>
      <w:r>
        <w:rPr>
          <w:rFonts w:ascii="Arial" w:hAnsi="Arial" w:cs="Arial" w:eastAsia="Arial"/>
          <w:color w:val="5A6478"/>
          <w:sz w:val="17"/>
          <w:szCs w:val="17"/>
        </w:rPr>
        <w:t>* As of 30 June 2023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2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 *</w:t>
      </w:r>
    </w:p>
    <w:p>
      <w:pPr>
        <w:spacing w:before="0" w:after="80" w:line="240" w:lineRule="auto"/>
        <w:jc w:val="center"/>
      </w:pPr>
      <w:r>
        <w:drawing>
          <wp:inline xmlns:a="http://schemas.openxmlformats.org/drawingml/2006/main" xmlns:pic="http://schemas.openxmlformats.org/drawingml/2006/picture">
            <wp:extent cx="6336000" cy="1836108"/>
            <wp:docPr id="5" name="Picture 9028"/>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The average term of Fund investments are 3.6 years.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Quarterly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506,726,122</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470,410,138</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w:t>
            </w:r>
          </w:p>
        </w:tc>
        <w:tc>
          <w:tcPr>
            <w:tcW w:type="dxa" w:w="6860"/>
          </w:tcPr>
          <w:p>
            <w:pPr>
              <w:spacing w:before="0" w:after="0" w:line="276" w:lineRule="auto"/>
            </w:pPr>
            <w:r>
              <w:rPr>
                <w:rFonts w:ascii="Arial" w:hAnsi="Arial" w:cs="Arial" w:eastAsia="Arial"/>
                <w:b/>
                <w:bCs/>
                <w:color w:val="0E1E3A"/>
                <w:sz w:val="18"/>
                <w:szCs w:val="18"/>
              </w:rPr>
              <w:t>0.43%</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0.54%</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0.59%</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COSTS AND FEES FOR THE REPORTING QUARTER</w:t>
            </w:r>
          </w:p>
        </w:tc>
        <w:tc>
          <w:tcPr>
            <w:tcW w:type="dxa" w:w="6860"/>
          </w:tcPr>
          <w:p>
            <w:pPr>
              <w:spacing w:before="0" w:after="0" w:line="276" w:lineRule="auto"/>
            </w:pPr>
            <w:r>
              <w:rPr>
                <w:rFonts w:ascii="Arial" w:hAnsi="Arial" w:cs="Arial" w:eastAsia="Arial"/>
                <w:b/>
                <w:bCs/>
                <w:color w:val="0E1E3A"/>
                <w:sz w:val="18"/>
                <w:szCs w:val="18"/>
              </w:rPr>
              <w:t>SAR 2,731,400</w:t>
            </w:r>
          </w:p>
        </w:tc>
      </w:tr>
    </w:tbl>
    <w:p>
      <w:pPr>
        <w:spacing w:before="0" w:after="40" w:line="300" w:lineRule="auto"/>
      </w:pPr>
    </w:p>
    <w:p>
      <w:pPr>
        <w:spacing w:before="0" w:after="80" w:line="312" w:lineRule="auto"/>
      </w:pPr>
      <w:r>
        <w:rPr>
          <w:rFonts w:ascii="Arial" w:hAnsi="Arial" w:cs="Arial" w:eastAsia="Arial"/>
          <w:color w:val="5A6478"/>
          <w:sz w:val="17"/>
          <w:szCs w:val="17"/>
        </w:rPr>
        <w:t>* As of 30 June 2023 (Unaudited).</w:t>
      </w:r>
      <w:r>
        <w:br/>
      </w:r>
      <w:r>
        <w:rPr>
          <w:rFonts w:ascii="Arial" w:hAnsi="Arial" w:cs="Arial" w:eastAsia="Arial"/>
          <w:color w:val="5A6478"/>
          <w:sz w:val="17"/>
          <w:szCs w:val="17"/>
        </w:rPr>
        <w:t>** Fund expenses and fees are all Fund expenses during the reporting quarter, excluding financing costs.</w:t>
      </w:r>
      <w:r>
        <w:br/>
      </w:r>
      <w:r>
        <w:rPr>
          <w:rFonts w:ascii="Arial" w:hAnsi="Arial" w:cs="Arial" w:eastAsia="Arial"/>
          <w:color w:val="5A6478"/>
          <w:sz w:val="17"/>
          <w:szCs w:val="17"/>
        </w:rPr>
        <w:t>*** Fund costs are all Fund fees and expenses, including financing costs.</w:t>
      </w:r>
      <w:r>
        <w:br/>
      </w:r>
      <w:r>
        <w:rPr>
          <w:rFonts w:ascii="Arial" w:hAnsi="Arial" w:cs="Arial" w:eastAsia="Arial"/>
          <w:color w:val="5A6478"/>
          <w:sz w:val="17"/>
          <w:szCs w:val="17"/>
        </w:rPr>
        <w:t>**** Fund average NAV for the reporting period = SAR 466,593,521</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31"/>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128,098,940</w:t>
            </w:r>
          </w:p>
        </w:tc>
      </w:tr>
      <w:tr>
        <w:tc>
          <w:tcPr>
            <w:tcW w:type="dxa" w:w="3118"/>
            <w:shd w:val="clear" w:color="auto" w:fill="F3F6FB"/>
          </w:tcPr>
          <w:p>
            <w:pPr>
              <w:spacing w:before="0" w:after="0" w:line="276" w:lineRule="auto"/>
            </w:pPr>
            <w:r>
              <w:rPr>
                <w:rFonts w:ascii="Arial" w:hAnsi="Arial" w:cs="Arial" w:eastAsia="Arial"/>
                <w:color w:val="5A6478"/>
                <w:sz w:val="18"/>
                <w:szCs w:val="18"/>
              </w:rPr>
              <w:t>LEASING PORTFOLIO TOTAL VALUE</w:t>
            </w:r>
          </w:p>
        </w:tc>
        <w:tc>
          <w:tcPr>
            <w:tcW w:type="dxa" w:w="6860"/>
          </w:tcPr>
          <w:p>
            <w:pPr>
              <w:spacing w:before="0" w:after="0" w:line="276" w:lineRule="auto"/>
            </w:pPr>
            <w:r>
              <w:rPr>
                <w:rFonts w:ascii="Arial" w:hAnsi="Arial" w:cs="Arial" w:eastAsia="Arial"/>
                <w:b/>
                <w:bCs/>
                <w:color w:val="0E1E3A"/>
                <w:sz w:val="18"/>
                <w:szCs w:val="18"/>
              </w:rPr>
              <w:t>SAR 175,696,113</w:t>
            </w:r>
          </w:p>
        </w:tc>
      </w:tr>
      <w:tr>
        <w:tc>
          <w:tcPr>
            <w:tcW w:type="dxa" w:w="3118"/>
            <w:shd w:val="clear" w:color="auto" w:fill="F3F6FB"/>
          </w:tcPr>
          <w:p>
            <w:pPr>
              <w:spacing w:before="0" w:after="0" w:line="276" w:lineRule="auto"/>
            </w:pPr>
            <w:r>
              <w:rPr>
                <w:rFonts w:ascii="Arial" w:hAnsi="Arial" w:cs="Arial" w:eastAsia="Arial"/>
                <w:color w:val="5A6478"/>
                <w:sz w:val="18"/>
                <w:szCs w:val="18"/>
              </w:rPr>
              <w:t>SUKUK PORTFOLIO TOTAL VALUE</w:t>
            </w:r>
          </w:p>
        </w:tc>
        <w:tc>
          <w:tcPr>
            <w:tcW w:type="dxa" w:w="6860"/>
          </w:tcPr>
          <w:p>
            <w:pPr>
              <w:spacing w:before="0" w:after="0" w:line="276" w:lineRule="auto"/>
            </w:pPr>
            <w:r>
              <w:rPr>
                <w:rFonts w:ascii="Arial" w:hAnsi="Arial" w:cs="Arial" w:eastAsia="Arial"/>
                <w:b/>
                <w:bCs/>
                <w:color w:val="0E1E3A"/>
                <w:sz w:val="18"/>
                <w:szCs w:val="18"/>
              </w:rPr>
              <w:t>SAR 31,931,324</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124,191,376</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46,808,369</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33"/>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68216"/>
            <wp:docPr id="11" name="Picture 9034"/>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2968216"/>
                    </a:xfrm>
                    <a:prstGeom prst="rect"/>
                  </pic:spPr>
                </pic:pic>
              </a:graphicData>
            </a:graphic>
          </wp:inline>
        </w:drawing>
      </w: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2021</w:t>
            </w:r>
          </w:p>
        </w:tc>
        <w:tc>
          <w:tcPr>
            <w:tcW w:type="dxa" w:w="6860"/>
          </w:tcPr>
          <w:p>
            <w:pPr>
              <w:spacing w:before="0" w:after="0" w:line="276" w:lineRule="auto"/>
            </w:pPr>
            <w:r>
              <w:rPr>
                <w:rFonts w:ascii="Arial" w:hAnsi="Arial" w:cs="Arial" w:eastAsia="Arial"/>
                <w:b/>
                <w:bCs/>
                <w:color w:val="0E1E3A"/>
                <w:sz w:val="18"/>
                <w:szCs w:val="18"/>
              </w:rPr>
              <w:t>SAR 428,370,118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2021</w:t>
            </w:r>
          </w:p>
        </w:tc>
        <w:tc>
          <w:tcPr>
            <w:tcW w:type="dxa" w:w="6860"/>
          </w:tcPr>
          <w:p>
            <w:pPr>
              <w:spacing w:before="0" w:after="0" w:line="276" w:lineRule="auto"/>
            </w:pPr>
            <w:r>
              <w:rPr>
                <w:rFonts w:ascii="Arial" w:hAnsi="Arial" w:cs="Arial" w:eastAsia="Arial"/>
                <w:b/>
                <w:bCs/>
                <w:color w:val="0E1E3A"/>
                <w:sz w:val="18"/>
                <w:szCs w:val="18"/>
              </w:rPr>
              <w:t>SAR 433,098,265</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2021</w:t>
            </w:r>
          </w:p>
        </w:tc>
        <w:tc>
          <w:tcPr>
            <w:tcW w:type="dxa" w:w="6860"/>
          </w:tcPr>
          <w:p>
            <w:pPr>
              <w:spacing w:before="0" w:after="0" w:line="276" w:lineRule="auto"/>
            </w:pPr>
            <w:r>
              <w:rPr>
                <w:rFonts w:ascii="Arial" w:hAnsi="Arial" w:cs="Arial" w:eastAsia="Arial"/>
                <w:b/>
                <w:bCs/>
                <w:color w:val="0E1E3A"/>
                <w:sz w:val="18"/>
                <w:szCs w:val="18"/>
              </w:rPr>
              <w:t>SAR 427,897,304</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2021</w:t>
            </w:r>
          </w:p>
        </w:tc>
        <w:tc>
          <w:tcPr>
            <w:tcW w:type="dxa" w:w="6860"/>
          </w:tcPr>
          <w:p>
            <w:pPr>
              <w:spacing w:before="0" w:after="0" w:line="276" w:lineRule="auto"/>
            </w:pPr>
            <w:r>
              <w:rPr>
                <w:rFonts w:ascii="Arial" w:hAnsi="Arial" w:cs="Arial" w:eastAsia="Arial"/>
                <w:b/>
                <w:bCs/>
                <w:color w:val="0E1E3A"/>
                <w:sz w:val="18"/>
                <w:szCs w:val="18"/>
              </w:rPr>
              <w:t>SAR 409,930,345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2022</w:t>
            </w:r>
          </w:p>
        </w:tc>
        <w:tc>
          <w:tcPr>
            <w:tcW w:type="dxa" w:w="6860"/>
          </w:tcPr>
          <w:p>
            <w:pPr>
              <w:spacing w:before="0" w:after="0" w:line="276" w:lineRule="auto"/>
            </w:pPr>
            <w:r>
              <w:rPr>
                <w:rFonts w:ascii="Arial" w:hAnsi="Arial" w:cs="Arial" w:eastAsia="Arial"/>
                <w:b/>
                <w:bCs/>
                <w:color w:val="0E1E3A"/>
                <w:sz w:val="18"/>
                <w:szCs w:val="18"/>
              </w:rPr>
              <w:t>SAR 402,838,124</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342,317,843</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2022</w:t>
            </w:r>
          </w:p>
        </w:tc>
        <w:tc>
          <w:tcPr>
            <w:tcW w:type="dxa" w:w="6860"/>
          </w:tcPr>
          <w:p>
            <w:pPr>
              <w:spacing w:before="0" w:after="0" w:line="276" w:lineRule="auto"/>
            </w:pPr>
            <w:r>
              <w:rPr>
                <w:rFonts w:ascii="Arial" w:hAnsi="Arial" w:cs="Arial" w:eastAsia="Arial"/>
                <w:b/>
                <w:bCs/>
                <w:color w:val="0E1E3A"/>
                <w:sz w:val="18"/>
                <w:szCs w:val="18"/>
              </w:rPr>
              <w:t>SAR 339,480,955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2022</w:t>
            </w:r>
          </w:p>
        </w:tc>
        <w:tc>
          <w:tcPr>
            <w:tcW w:type="dxa" w:w="6860"/>
          </w:tcPr>
          <w:p>
            <w:pPr>
              <w:spacing w:before="0" w:after="0" w:line="276" w:lineRule="auto"/>
            </w:pPr>
            <w:r>
              <w:rPr>
                <w:rFonts w:ascii="Arial" w:hAnsi="Arial" w:cs="Arial" w:eastAsia="Arial"/>
                <w:b/>
                <w:bCs/>
                <w:color w:val="0E1E3A"/>
                <w:sz w:val="18"/>
                <w:szCs w:val="18"/>
              </w:rPr>
              <w:t>SAR 281,324,747</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2023</w:t>
            </w:r>
          </w:p>
        </w:tc>
        <w:tc>
          <w:tcPr>
            <w:tcW w:type="dxa" w:w="6860"/>
          </w:tcPr>
          <w:p>
            <w:pPr>
              <w:spacing w:before="0" w:after="0" w:line="276" w:lineRule="auto"/>
            </w:pPr>
            <w:r>
              <w:rPr>
                <w:rFonts w:ascii="Arial" w:hAnsi="Arial" w:cs="Arial" w:eastAsia="Arial"/>
                <w:b/>
                <w:bCs/>
                <w:color w:val="0E1E3A"/>
                <w:sz w:val="18"/>
                <w:szCs w:val="18"/>
              </w:rPr>
              <w:t>SAR 297,873,261</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2023</w:t>
            </w:r>
          </w:p>
        </w:tc>
        <w:tc>
          <w:tcPr>
            <w:tcW w:type="dxa" w:w="6860"/>
          </w:tcPr>
          <w:p>
            <w:pPr>
              <w:spacing w:before="0" w:after="0" w:line="276" w:lineRule="auto"/>
            </w:pPr>
            <w:r>
              <w:rPr>
                <w:rFonts w:ascii="Arial" w:hAnsi="Arial" w:cs="Arial" w:eastAsia="Arial"/>
                <w:b/>
                <w:bCs/>
                <w:color w:val="0E1E3A"/>
                <w:sz w:val="18"/>
                <w:szCs w:val="18"/>
              </w:rPr>
              <w:t>SAR 329,079,031</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Q2 (30 JUNE 2023)</w:t>
            </w:r>
          </w:p>
        </w:tc>
        <w:tc>
          <w:tcPr>
            <w:tcW w:type="dxa" w:w="6860"/>
          </w:tcPr>
          <w:p>
            <w:pPr>
              <w:spacing w:before="0" w:after="0" w:line="276" w:lineRule="auto"/>
            </w:pPr>
            <w:r>
              <w:rPr>
                <w:rFonts w:ascii="Arial" w:hAnsi="Arial" w:cs="Arial" w:eastAsia="Arial"/>
                <w:b/>
                <w:bCs/>
                <w:color w:val="0E1E3A"/>
                <w:sz w:val="18"/>
                <w:szCs w:val="18"/>
              </w:rPr>
              <w:t>SAR 6.96</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THE PREVIOUS QUARTER (FROM 30 MARCH 2023 TO 30 JUNE 2023)*</w:t>
            </w:r>
          </w:p>
        </w:tc>
        <w:tc>
          <w:tcPr>
            <w:tcW w:type="dxa" w:w="6860"/>
          </w:tcPr>
          <w:p>
            <w:pPr>
              <w:spacing w:before="0" w:after="0" w:line="276" w:lineRule="auto"/>
            </w:pPr>
            <w:r>
              <w:rPr>
                <w:rFonts w:ascii="Arial" w:hAnsi="Arial" w:cs="Arial" w:eastAsia="Arial"/>
                <w:b/>
                <w:bCs/>
                <w:color w:val="0E1E3A"/>
                <w:sz w:val="18"/>
                <w:szCs w:val="18"/>
              </w:rPr>
              <w:t>10.48%</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Q2 2023)</w:t>
            </w:r>
          </w:p>
        </w:tc>
        <w:tc>
          <w:tcPr>
            <w:tcW w:type="dxa" w:w="6860"/>
          </w:tcPr>
          <w:p>
            <w:pPr>
              <w:spacing w:before="0" w:after="0" w:line="276" w:lineRule="auto"/>
            </w:pPr>
            <w:r>
              <w:rPr>
                <w:rFonts w:ascii="Arial" w:hAnsi="Arial" w:cs="Arial" w:eastAsia="Arial"/>
                <w:b/>
                <w:bCs/>
                <w:color w:val="0E1E3A"/>
                <w:sz w:val="18"/>
                <w:szCs w:val="18"/>
              </w:rPr>
              <w:t>-30.40%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7.79</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5.91</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47,281,470 Units</w:t>
            </w:r>
          </w:p>
        </w:tc>
      </w:tr>
    </w:tbl>
    <w:p>
      <w:pPr>
        <w:spacing w:before="0" w:after="40" w:line="300" w:lineRule="auto"/>
      </w:pPr>
    </w:p>
    <w:p>
      <w:pPr>
        <w:spacing w:before="0" w:after="80" w:line="312" w:lineRule="auto"/>
      </w:pPr>
      <w:r>
        <w:rPr>
          <w:rFonts w:ascii="Arial" w:hAnsi="Arial" w:cs="Arial" w:eastAsia="Arial"/>
          <w:color w:val="5A6478"/>
          <w:sz w:val="17"/>
          <w:szCs w:val="17"/>
        </w:rPr>
        <w:t>* Unit Price as at 31 March 2023 = SAR 6.30.</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37"/>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will distribute 100% of the semi-annual profits received from the returns on the Fund's investments after deducting the expenses from the Unitholders twice a year, provided distributions are made during the months of August and February annually.</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IN THE REPORTING QUARTER*</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FOR THE LAST SEMI-ANNUAL PERIOD**</w:t>
            </w:r>
          </w:p>
        </w:tc>
        <w:tc>
          <w:tcPr>
            <w:tcW w:type="dxa" w:w="6860"/>
          </w:tcPr>
          <w:p>
            <w:pPr>
              <w:spacing w:before="0" w:after="0" w:line="276" w:lineRule="auto"/>
            </w:pPr>
            <w:r>
              <w:rPr>
                <w:rFonts w:ascii="Arial" w:hAnsi="Arial" w:cs="Arial" w:eastAsia="Arial"/>
                <w:b/>
                <w:bCs/>
                <w:color w:val="0E1E3A"/>
                <w:sz w:val="18"/>
                <w:szCs w:val="18"/>
              </w:rPr>
              <w:t>SAR 13,238,812</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FOR THE LAST SEMI-ANNUAL PERIOD PER UNIT</w:t>
            </w:r>
          </w:p>
        </w:tc>
        <w:tc>
          <w:tcPr>
            <w:tcW w:type="dxa" w:w="6860"/>
          </w:tcPr>
          <w:p>
            <w:pPr>
              <w:spacing w:before="0" w:after="0" w:line="276" w:lineRule="auto"/>
            </w:pPr>
            <w:r>
              <w:rPr>
                <w:rFonts w:ascii="Arial" w:hAnsi="Arial" w:cs="Arial" w:eastAsia="Arial"/>
                <w:b/>
                <w:bCs/>
                <w:color w:val="0E1E3A"/>
                <w:sz w:val="18"/>
                <w:szCs w:val="18"/>
              </w:rPr>
              <w:t>SAR 0.28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THE INITIAL UNIT PRICE</w:t>
            </w:r>
          </w:p>
        </w:tc>
        <w:tc>
          <w:tcPr>
            <w:tcW w:type="dxa" w:w="6860"/>
          </w:tcPr>
          <w:p>
            <w:pPr>
              <w:spacing w:before="0" w:after="0" w:line="276" w:lineRule="auto"/>
            </w:pPr>
            <w:r>
              <w:rPr>
                <w:rFonts w:ascii="Arial" w:hAnsi="Arial" w:cs="Arial" w:eastAsia="Arial"/>
                <w:b/>
                <w:bCs/>
                <w:color w:val="0E1E3A"/>
                <w:sz w:val="18"/>
                <w:szCs w:val="18"/>
              </w:rPr>
              <w:t>2.80%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ON UNIT PRICE***</w:t>
            </w:r>
          </w:p>
        </w:tc>
        <w:tc>
          <w:tcPr>
            <w:tcW w:type="dxa" w:w="6860"/>
          </w:tcPr>
          <w:p>
            <w:pPr>
              <w:spacing w:before="0" w:after="0" w:line="276" w:lineRule="auto"/>
            </w:pPr>
            <w:r>
              <w:rPr>
                <w:rFonts w:ascii="Arial" w:hAnsi="Arial" w:cs="Arial" w:eastAsia="Arial"/>
                <w:b/>
                <w:bCs/>
                <w:color w:val="0E1E3A"/>
                <w:sz w:val="18"/>
                <w:szCs w:val="18"/>
              </w:rPr>
              <w:t>4.42%</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10,364,639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INCOME FOR THE REPORTING QUARTER TO THE UNIT PRICE (30 JUNE 2023)</w:t>
            </w:r>
          </w:p>
        </w:tc>
        <w:tc>
          <w:tcPr>
            <w:tcW w:type="dxa" w:w="6860"/>
          </w:tcPr>
          <w:p>
            <w:pPr>
              <w:spacing w:before="0" w:after="0" w:line="276" w:lineRule="auto"/>
            </w:pPr>
            <w:r>
              <w:rPr>
                <w:rFonts w:ascii="Arial" w:hAnsi="Arial" w:cs="Arial" w:eastAsia="Arial"/>
                <w:b/>
                <w:bCs/>
                <w:color w:val="0E1E3A"/>
                <w:sz w:val="18"/>
                <w:szCs w:val="18"/>
              </w:rPr>
              <w:t>3.15%</w:t>
            </w:r>
          </w:p>
        </w:tc>
      </w:tr>
    </w:tbl>
    <w:p>
      <w:pPr>
        <w:spacing w:before="0" w:after="40" w:line="300" w:lineRule="auto"/>
      </w:pPr>
    </w:p>
    <w:p>
      <w:pPr>
        <w:spacing w:before="0" w:after="80" w:line="312" w:lineRule="auto"/>
      </w:pPr>
      <w:r>
        <w:rPr>
          <w:rFonts w:ascii="Arial" w:hAnsi="Arial" w:cs="Arial" w:eastAsia="Arial"/>
          <w:color w:val="5A6478"/>
          <w:sz w:val="17"/>
          <w:szCs w:val="17"/>
        </w:rPr>
        <w:t>* From 1 April to 30 June 2023.</w:t>
      </w:r>
      <w:r>
        <w:br/>
      </w:r>
      <w:r>
        <w:rPr>
          <w:rFonts w:ascii="Arial" w:hAnsi="Arial" w:cs="Arial" w:eastAsia="Arial"/>
          <w:color w:val="5A6478"/>
          <w:sz w:val="17"/>
          <w:szCs w:val="17"/>
        </w:rPr>
        <w:t>** From 1 January to 30 June 2023</w:t>
      </w:r>
      <w:r>
        <w:br/>
      </w:r>
      <w:r>
        <w:rPr>
          <w:rFonts w:ascii="Arial" w:hAnsi="Arial" w:cs="Arial" w:eastAsia="Arial"/>
          <w:color w:val="5A6478"/>
          <w:sz w:val="17"/>
          <w:szCs w:val="17"/>
        </w:rPr>
        <w:t>*** Unit Price as at the distribution date on 19 February 2023 = SAR 6.34 .</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38"/>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 months Term SOFR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w:t>
            </w:r>
          </w:p>
        </w:tc>
        <w:tc>
          <w:tcPr>
            <w:tcW w:type="dxa" w:w="6860"/>
          </w:tcPr>
          <w:p>
            <w:pPr>
              <w:spacing w:before="0" w:after="0" w:line="276" w:lineRule="auto"/>
            </w:pPr>
            <w:r>
              <w:rPr>
                <w:rFonts w:ascii="Arial" w:hAnsi="Arial" w:cs="Arial" w:eastAsia="Arial"/>
                <w:b/>
                <w:bCs/>
                <w:color w:val="0E1E3A"/>
                <w:sz w:val="18"/>
                <w:szCs w:val="18"/>
              </w:rPr>
              <w:t>10.48%</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w:t>
            </w:r>
          </w:p>
        </w:tc>
        <w:tc>
          <w:tcPr>
            <w:tcW w:type="dxa" w:w="6860"/>
          </w:tcPr>
          <w:p>
            <w:pPr>
              <w:spacing w:before="0" w:after="0" w:line="276" w:lineRule="auto"/>
            </w:pPr>
            <w:r>
              <w:rPr>
                <w:rFonts w:ascii="Arial" w:hAnsi="Arial" w:cs="Arial" w:eastAsia="Arial"/>
                <w:b/>
                <w:bCs/>
                <w:color w:val="0E1E3A"/>
                <w:sz w:val="18"/>
                <w:szCs w:val="18"/>
              </w:rPr>
              <w:t>-30.40%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-20.92%</w:t>
            </w:r>
          </w:p>
        </w:tc>
      </w:tr>
    </w:tbl>
    <w:p>
      <w:pPr>
        <w:spacing w:before="0" w:after="40" w:line="300" w:lineRule="auto"/>
      </w:pPr>
    </w:p>
    <w:p>
      <w:pPr>
        <w:spacing w:before="0" w:after="80" w:line="312" w:lineRule="auto"/>
      </w:pPr>
      <w:r>
        <w:rPr>
          <w:rFonts w:ascii="Arial" w:hAnsi="Arial" w:cs="Arial" w:eastAsia="Arial"/>
          <w:color w:val="5A6478"/>
          <w:sz w:val="17"/>
          <w:szCs w:val="17"/>
        </w:rPr>
        <w:t>* On 16 May 2023, the Fund has changed Its benchmark from the London Interbank Offered Rate (LIBOR) 12 months + 300 basis points to the Secured Overnight Financing Rate (Term SOFR) 12 months + 300 basis points.</w:t>
      </w:r>
      <w:r>
        <w:br/>
      </w:r>
      <w:r>
        <w:rPr>
          <w:rFonts w:ascii="Arial" w:hAnsi="Arial" w:cs="Arial" w:eastAsia="Arial"/>
          <w:color w:val="5A6478"/>
          <w:sz w:val="17"/>
          <w:szCs w:val="17"/>
        </w:rPr>
        <w:t>** Unit Price as at 31 March 2023 = SAR 6.30 .</w:t>
      </w:r>
      <w:r>
        <w:br/>
      </w:r>
      <w:r>
        <w:rPr>
          <w:rFonts w:ascii="Arial" w:hAnsi="Arial" w:cs="Arial" w:eastAsia="Arial"/>
          <w:color w:val="5A6478"/>
          <w:sz w:val="17"/>
          <w:szCs w:val="17"/>
        </w:rPr>
        <w:t>*** From the Fund’s Date of Inception to end Q2 2023.</w:t>
      </w:r>
      <w:r>
        <w:br/>
      </w:r>
      <w:r>
        <w:rPr>
          <w:rFonts w:ascii="Arial" w:hAnsi="Arial" w:cs="Arial" w:eastAsia="Arial"/>
          <w:color w:val="5A6478"/>
          <w:sz w:val="17"/>
          <w:szCs w:val="17"/>
        </w:rPr>
        <w:t>**** Total Return = Unit Price Performance + Total Dividend Distributions (if any).</w:t>
      </w:r>
      <w:r>
        <w:br/>
      </w:r>
      <w:r>
        <w:rPr>
          <w:rFonts w:ascii="Arial" w:hAnsi="Arial" w:cs="Arial" w:eastAsia="Arial"/>
          <w:color w:val="5A6478"/>
          <w:sz w:val="17"/>
          <w:szCs w:val="17"/>
        </w:rPr>
        <w:t>Note: It should be noted that the Unit Price on the Exchange may increase or decrease based on market factors.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The Fund’s Benchmark is 12 months Term SOFR plus 300 bps.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40"/>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r>
              <w:rPr>
                <w:rFonts w:ascii="Arial" w:hAnsi="Arial" w:cs="Arial" w:eastAsia="Arial"/>
                <w:b/>
                <w:bCs/>
                <w:color w:val="FFFFFF"/>
                <w:sz w:val="17"/>
                <w:szCs w:val="17"/>
              </w:rPr>
              <w:t>12M TERM SOFR + 300 BPS*</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9.7877</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9.9491</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1.65%</w:t>
            </w:r>
          </w:p>
        </w:tc>
        <w:tc>
          <w:tcPr>
            <w:tcW w:type="dxa" w:w="3326"/>
          </w:tcPr>
          <w:p>
            <w:pPr>
              <w:spacing w:before="0" w:after="0" w:line="264" w:lineRule="auto"/>
            </w:pPr>
            <w:r>
              <w:rPr>
                <w:rFonts w:ascii="Arial" w:hAnsi="Arial" w:cs="Arial" w:eastAsia="Arial"/>
                <w:color w:val="0E1E3A"/>
                <w:sz w:val="17"/>
                <w:szCs w:val="17"/>
              </w:rPr>
              <w:t>1.90%****</w:t>
            </w:r>
          </w:p>
        </w:tc>
      </w:tr>
    </w:tbl>
    <w:p>
      <w:pPr>
        <w:spacing w:before="0" w:after="40" w:line="300" w:lineRule="auto"/>
      </w:pPr>
    </w:p>
    <w:p>
      <w:pPr>
        <w:spacing w:before="0" w:after="80" w:line="312" w:lineRule="auto"/>
      </w:pPr>
      <w:r>
        <w:rPr>
          <w:rFonts w:ascii="Arial" w:hAnsi="Arial" w:cs="Arial" w:eastAsia="Arial"/>
          <w:color w:val="5A6478"/>
          <w:sz w:val="17"/>
          <w:szCs w:val="17"/>
        </w:rPr>
        <w:t>* On 16 May 2023, the Fund has changed Its benchmark from the London Interbank Offered Rate (LIBOR) 12 months + 300 basis points to the Secured Overnight Financing Rate (Term SOFR) 12 months + 300 basis points</w:t>
      </w:r>
      <w:r>
        <w:br/>
      </w:r>
      <w:r>
        <w:rPr>
          <w:rFonts w:ascii="Arial" w:hAnsi="Arial" w:cs="Arial" w:eastAsia="Arial"/>
          <w:color w:val="5A6478"/>
          <w:sz w:val="17"/>
          <w:szCs w:val="17"/>
        </w:rPr>
        <w:t>** As at 30 March 2023.</w:t>
      </w:r>
      <w:r>
        <w:br/>
      </w:r>
      <w:r>
        <w:rPr>
          <w:rFonts w:ascii="Arial" w:hAnsi="Arial" w:cs="Arial" w:eastAsia="Arial"/>
          <w:color w:val="5A6478"/>
          <w:sz w:val="17"/>
          <w:szCs w:val="17"/>
        </w:rPr>
        <w:t>*** As at 30 June 2023.</w:t>
      </w:r>
      <w:r>
        <w:br/>
      </w:r>
      <w:r>
        <w:rPr>
          <w:rFonts w:ascii="Arial" w:hAnsi="Arial" w:cs="Arial" w:eastAsia="Arial"/>
          <w:color w:val="5A6478"/>
          <w:sz w:val="17"/>
          <w:szCs w:val="17"/>
        </w:rPr>
        <w:t>**** Benchmark average return is 8.21% per annum, or a return of 1.99% for the reporting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42"/>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w:t>
            </w:r>
          </w:p>
        </w:tc>
        <w:tc>
          <w:tcPr>
            <w:tcW w:type="dxa" w:w="1663"/>
            <w:shd w:val="clear" w:color="auto" w:fill="12284B"/>
          </w:tcPr>
          <w:p>
            <w:pPr>
              <w:spacing w:before="0" w:after="0" w:line="264" w:lineRule="auto"/>
            </w:pPr>
            <w:r>
              <w:rPr>
                <w:rFonts w:ascii="Arial" w:hAnsi="Arial" w:cs="Arial" w:eastAsia="Arial"/>
                <w:b/>
                <w:bCs/>
                <w:color w:val="FFFFFF"/>
                <w:sz w:val="17"/>
                <w:szCs w:val="17"/>
              </w:rPr>
              <w:t>A YEAR TO DATE</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RETURN/NAV PER UNIT "FUND PERFORMANCE"</w:t>
            </w:r>
          </w:p>
        </w:tc>
        <w:tc>
          <w:tcPr>
            <w:tcW w:type="dxa" w:w="1663"/>
          </w:tcPr>
          <w:p>
            <w:pPr>
              <w:spacing w:before="0" w:after="0" w:line="264" w:lineRule="auto"/>
            </w:pPr>
            <w:r>
              <w:rPr>
                <w:rFonts w:ascii="Arial" w:hAnsi="Arial" w:cs="Arial" w:eastAsia="Arial"/>
                <w:color w:val="0E1E3A"/>
                <w:sz w:val="17"/>
                <w:szCs w:val="17"/>
              </w:rPr>
              <w:t>1.65%*</w:t>
            </w:r>
          </w:p>
        </w:tc>
        <w:tc>
          <w:tcPr>
            <w:tcW w:type="dxa" w:w="1663"/>
          </w:tcPr>
          <w:p>
            <w:pPr>
              <w:spacing w:before="0" w:after="0" w:line="264" w:lineRule="auto"/>
            </w:pPr>
            <w:r>
              <w:rPr>
                <w:rFonts w:ascii="Arial" w:hAnsi="Arial" w:cs="Arial" w:eastAsia="Arial"/>
                <w:color w:val="0E1E3A"/>
                <w:sz w:val="17"/>
                <w:szCs w:val="17"/>
              </w:rPr>
              <w:t>2.90%**</w:t>
            </w:r>
          </w:p>
        </w:tc>
        <w:tc>
          <w:tcPr>
            <w:tcW w:type="dxa" w:w="1663"/>
          </w:tcPr>
          <w:p>
            <w:pPr>
              <w:spacing w:before="0" w:after="0" w:line="264" w:lineRule="auto"/>
            </w:pPr>
            <w:r>
              <w:rPr>
                <w:rFonts w:ascii="Arial" w:hAnsi="Arial" w:cs="Arial" w:eastAsia="Arial"/>
                <w:color w:val="0E1E3A"/>
                <w:sz w:val="17"/>
                <w:szCs w:val="17"/>
              </w:rPr>
              <w:t>5.03%***</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1.90%</w:t>
            </w:r>
          </w:p>
        </w:tc>
        <w:tc>
          <w:tcPr>
            <w:tcW w:type="dxa" w:w="1663"/>
          </w:tcPr>
          <w:p>
            <w:pPr>
              <w:spacing w:before="0" w:after="0" w:line="264" w:lineRule="auto"/>
            </w:pPr>
            <w:r>
              <w:rPr>
                <w:rFonts w:ascii="Arial" w:hAnsi="Arial" w:cs="Arial" w:eastAsia="Arial"/>
                <w:color w:val="0E1E3A"/>
                <w:sz w:val="17"/>
                <w:szCs w:val="17"/>
              </w:rPr>
              <w:t>4.04%</w:t>
            </w:r>
          </w:p>
        </w:tc>
        <w:tc>
          <w:tcPr>
            <w:tcW w:type="dxa" w:w="1663"/>
          </w:tcPr>
          <w:p>
            <w:pPr>
              <w:spacing w:before="0" w:after="0" w:line="264" w:lineRule="auto"/>
            </w:pPr>
            <w:r>
              <w:rPr>
                <w:rFonts w:ascii="Arial" w:hAnsi="Arial" w:cs="Arial" w:eastAsia="Arial"/>
                <w:color w:val="0E1E3A"/>
                <w:sz w:val="17"/>
                <w:szCs w:val="17"/>
              </w:rPr>
              <w:t>8.13%</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-0.25%</w:t>
            </w:r>
          </w:p>
        </w:tc>
        <w:tc>
          <w:tcPr>
            <w:tcW w:type="dxa" w:w="1663"/>
          </w:tcPr>
          <w:p>
            <w:pPr>
              <w:spacing w:before="0" w:after="0" w:line="264" w:lineRule="auto"/>
            </w:pPr>
            <w:r>
              <w:rPr>
                <w:rFonts w:ascii="Arial" w:hAnsi="Arial" w:cs="Arial" w:eastAsia="Arial"/>
                <w:color w:val="0E1E3A"/>
                <w:sz w:val="17"/>
                <w:szCs w:val="17"/>
              </w:rPr>
              <w:t>-1.14%</w:t>
            </w:r>
          </w:p>
        </w:tc>
        <w:tc>
          <w:tcPr>
            <w:tcW w:type="dxa" w:w="1663"/>
          </w:tcPr>
          <w:p>
            <w:pPr>
              <w:spacing w:before="0" w:after="0" w:line="264" w:lineRule="auto"/>
            </w:pPr>
            <w:r>
              <w:rPr>
                <w:rFonts w:ascii="Arial" w:hAnsi="Arial" w:cs="Arial" w:eastAsia="Arial"/>
                <w:color w:val="0E1E3A"/>
                <w:sz w:val="17"/>
                <w:szCs w:val="17"/>
              </w:rPr>
              <w:t>-3.10%</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31 March 2023 to 30 June 2023.</w:t>
      </w:r>
      <w:r>
        <w:br/>
      </w:r>
      <w:r>
        <w:rPr>
          <w:rFonts w:ascii="Arial" w:hAnsi="Arial" w:cs="Arial" w:eastAsia="Arial"/>
          <w:color w:val="5A6478"/>
          <w:sz w:val="17"/>
          <w:szCs w:val="17"/>
        </w:rPr>
        <w:t>** For the period from 31 December 2022 to 30 June 2023, including cash distributions of 2.8%.</w:t>
      </w:r>
      <w:r>
        <w:br/>
      </w:r>
      <w:r>
        <w:rPr>
          <w:rFonts w:ascii="Arial" w:hAnsi="Arial" w:cs="Arial" w:eastAsia="Arial"/>
          <w:color w:val="5A6478"/>
          <w:sz w:val="17"/>
          <w:szCs w:val="17"/>
        </w:rPr>
        <w:t>*** For the period from 30 June 2022 to 30 June 2023, including cash distributions of 5.4%.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43"/>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MONTHS1</w:t>
            </w:r>
          </w:p>
        </w:tc>
        <w:tc>
          <w:tcPr>
            <w:tcW w:type="dxa" w:w="1663"/>
            <w:shd w:val="clear" w:color="auto" w:fill="12284B"/>
          </w:tcPr>
          <w:p>
            <w:pPr>
              <w:spacing w:before="0" w:after="0" w:line="264" w:lineRule="auto"/>
            </w:pPr>
            <w:r>
              <w:rPr>
                <w:rFonts w:ascii="Arial" w:hAnsi="Arial" w:cs="Arial" w:eastAsia="Arial"/>
                <w:b/>
                <w:bCs/>
                <w:color w:val="FFFFFF"/>
                <w:sz w:val="17"/>
                <w:szCs w:val="17"/>
              </w:rPr>
              <w:t>A YEAR TO DATE 2</w:t>
            </w:r>
          </w:p>
        </w:tc>
        <w:tc>
          <w:tcPr>
            <w:tcW w:type="dxa" w:w="1663"/>
            <w:shd w:val="clear" w:color="auto" w:fill="12284B"/>
          </w:tcPr>
          <w:p>
            <w:pPr>
              <w:spacing w:before="0" w:after="0" w:line="264" w:lineRule="auto"/>
            </w:pPr>
            <w:r>
              <w:rPr>
                <w:rFonts w:ascii="Arial" w:hAnsi="Arial" w:cs="Arial" w:eastAsia="Arial"/>
                <w:b/>
                <w:bCs/>
                <w:color w:val="FFFFFF"/>
                <w:sz w:val="17"/>
                <w:szCs w:val="17"/>
              </w:rPr>
              <w:t>ONE YEAR3</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DEVIATION4</w:t>
            </w:r>
          </w:p>
        </w:tc>
        <w:tc>
          <w:tcPr>
            <w:tcW w:type="dxa" w:w="1663"/>
          </w:tcPr>
          <w:p>
            <w:pPr>
              <w:spacing w:before="0" w:after="0" w:line="264" w:lineRule="auto"/>
            </w:pPr>
            <w:r>
              <w:rPr>
                <w:rFonts w:ascii="Arial" w:hAnsi="Arial" w:cs="Arial" w:eastAsia="Arial"/>
                <w:color w:val="0E1E3A"/>
                <w:sz w:val="17"/>
                <w:szCs w:val="17"/>
              </w:rPr>
              <w:t>13.15</w:t>
            </w:r>
          </w:p>
        </w:tc>
        <w:tc>
          <w:tcPr>
            <w:tcW w:type="dxa" w:w="1663"/>
          </w:tcPr>
          <w:p>
            <w:pPr>
              <w:spacing w:before="0" w:after="0" w:line="264" w:lineRule="auto"/>
            </w:pPr>
            <w:r>
              <w:rPr>
                <w:rFonts w:ascii="Arial" w:hAnsi="Arial" w:cs="Arial" w:eastAsia="Arial"/>
                <w:color w:val="0E1E3A"/>
                <w:sz w:val="17"/>
                <w:szCs w:val="17"/>
              </w:rPr>
              <w:t>21.85</w:t>
            </w:r>
          </w:p>
        </w:tc>
        <w:tc>
          <w:tcPr>
            <w:tcW w:type="dxa" w:w="1663"/>
          </w:tcPr>
          <w:p>
            <w:pPr>
              <w:spacing w:before="0" w:after="0" w:line="264" w:lineRule="auto"/>
            </w:pPr>
            <w:r>
              <w:rPr>
                <w:rFonts w:ascii="Arial" w:hAnsi="Arial" w:cs="Arial" w:eastAsia="Arial"/>
                <w:color w:val="0E1E3A"/>
                <w:sz w:val="17"/>
                <w:szCs w:val="17"/>
              </w:rPr>
              <w:t>20.05</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RATIO5</w:t>
            </w:r>
          </w:p>
        </w:tc>
        <w:tc>
          <w:tcPr>
            <w:tcW w:type="dxa" w:w="1663"/>
          </w:tcPr>
          <w:p>
            <w:pPr>
              <w:spacing w:before="0" w:after="0" w:line="264" w:lineRule="auto"/>
            </w:pPr>
            <w:r>
              <w:rPr>
                <w:rFonts w:ascii="Arial" w:hAnsi="Arial" w:cs="Arial" w:eastAsia="Arial"/>
                <w:color w:val="0E1E3A"/>
                <w:sz w:val="17"/>
                <w:szCs w:val="17"/>
              </w:rPr>
              <w:t>3.42</w:t>
            </w:r>
          </w:p>
        </w:tc>
        <w:tc>
          <w:tcPr>
            <w:tcW w:type="dxa" w:w="1663"/>
          </w:tcPr>
          <w:p>
            <w:pPr>
              <w:spacing w:before="0" w:after="0" w:line="264" w:lineRule="auto"/>
            </w:pPr>
            <w:r>
              <w:rPr>
                <w:rFonts w:ascii="Arial" w:hAnsi="Arial" w:cs="Arial" w:eastAsia="Arial"/>
                <w:color w:val="0E1E3A"/>
                <w:sz w:val="17"/>
                <w:szCs w:val="17"/>
              </w:rPr>
              <w:t>2.09</w:t>
            </w:r>
          </w:p>
        </w:tc>
        <w:tc>
          <w:tcPr>
            <w:tcW w:type="dxa" w:w="1663"/>
          </w:tcPr>
          <w:p>
            <w:pPr>
              <w:spacing w:before="0" w:after="0" w:line="264" w:lineRule="auto"/>
            </w:pPr>
            <w:r>
              <w:rPr>
                <w:rFonts w:ascii="Arial" w:hAnsi="Arial" w:cs="Arial" w:eastAsia="Arial"/>
                <w:color w:val="0E1E3A"/>
                <w:sz w:val="17"/>
                <w:szCs w:val="17"/>
              </w:rPr>
              <w:t>-0.04</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ERROR6</w:t>
            </w:r>
          </w:p>
        </w:tc>
        <w:tc>
          <w:tcPr>
            <w:tcW w:type="dxa" w:w="1663"/>
          </w:tcPr>
          <w:p>
            <w:pPr>
              <w:spacing w:before="0" w:after="0" w:line="264" w:lineRule="auto"/>
            </w:pPr>
            <w:r>
              <w:rPr>
                <w:rFonts w:ascii="Arial" w:hAnsi="Arial" w:cs="Arial" w:eastAsia="Arial"/>
                <w:color w:val="0E1E3A"/>
                <w:sz w:val="17"/>
                <w:szCs w:val="17"/>
              </w:rPr>
              <w:t>13.12</w:t>
            </w:r>
          </w:p>
        </w:tc>
        <w:tc>
          <w:tcPr>
            <w:tcW w:type="dxa" w:w="1663"/>
          </w:tcPr>
          <w:p>
            <w:pPr>
              <w:spacing w:before="0" w:after="0" w:line="264" w:lineRule="auto"/>
            </w:pPr>
            <w:r>
              <w:rPr>
                <w:rFonts w:ascii="Arial" w:hAnsi="Arial" w:cs="Arial" w:eastAsia="Arial"/>
                <w:color w:val="0E1E3A"/>
                <w:sz w:val="17"/>
                <w:szCs w:val="17"/>
              </w:rPr>
              <w:t>21.85</w:t>
            </w:r>
          </w:p>
        </w:tc>
        <w:tc>
          <w:tcPr>
            <w:tcW w:type="dxa" w:w="1663"/>
          </w:tcPr>
          <w:p>
            <w:pPr>
              <w:spacing w:before="0" w:after="0" w:line="264" w:lineRule="auto"/>
            </w:pPr>
            <w:r>
              <w:rPr>
                <w:rFonts w:ascii="Arial" w:hAnsi="Arial" w:cs="Arial" w:eastAsia="Arial"/>
                <w:color w:val="0E1E3A"/>
                <w:sz w:val="17"/>
                <w:szCs w:val="17"/>
              </w:rPr>
              <w:t>20.08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BETA7</w:t>
            </w:r>
          </w:p>
        </w:tc>
        <w:tc>
          <w:tcPr>
            <w:tcW w:type="dxa" w:w="1663"/>
          </w:tcPr>
          <w:p>
            <w:pPr>
              <w:spacing w:before="0" w:after="0" w:line="264" w:lineRule="auto"/>
            </w:pPr>
            <w:r>
              <w:rPr>
                <w:rFonts w:ascii="Arial" w:hAnsi="Arial" w:cs="Arial" w:eastAsia="Arial"/>
                <w:color w:val="0E1E3A"/>
                <w:sz w:val="17"/>
                <w:szCs w:val="17"/>
              </w:rPr>
              <w:t>0.22</w:t>
            </w:r>
          </w:p>
        </w:tc>
        <w:tc>
          <w:tcPr>
            <w:tcW w:type="dxa" w:w="1663"/>
          </w:tcPr>
          <w:p>
            <w:pPr>
              <w:spacing w:before="0" w:after="0" w:line="264" w:lineRule="auto"/>
            </w:pPr>
            <w:r>
              <w:rPr>
                <w:rFonts w:ascii="Arial" w:hAnsi="Arial" w:cs="Arial" w:eastAsia="Arial"/>
                <w:color w:val="0E1E3A"/>
                <w:sz w:val="17"/>
                <w:szCs w:val="17"/>
              </w:rPr>
              <w:t>-0.45</w:t>
            </w:r>
          </w:p>
        </w:tc>
        <w:tc>
          <w:tcPr>
            <w:tcW w:type="dxa" w:w="1663"/>
          </w:tcPr>
          <w:p>
            <w:pPr>
              <w:spacing w:before="0" w:after="0" w:line="264" w:lineRule="auto"/>
            </w:pPr>
            <w:r>
              <w:rPr>
                <w:rFonts w:ascii="Arial" w:hAnsi="Arial" w:cs="Arial" w:eastAsia="Arial"/>
                <w:color w:val="0E1E3A"/>
                <w:sz w:val="17"/>
                <w:szCs w:val="17"/>
              </w:rPr>
              <w:t>-0.14</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ALPHA8</w:t>
            </w:r>
          </w:p>
        </w:tc>
        <w:tc>
          <w:tcPr>
            <w:tcW w:type="dxa" w:w="1663"/>
          </w:tcPr>
          <w:p>
            <w:pPr>
              <w:spacing w:before="0" w:after="0" w:line="264" w:lineRule="auto"/>
            </w:pPr>
            <w:r>
              <w:rPr>
                <w:rFonts w:ascii="Arial" w:hAnsi="Arial" w:cs="Arial" w:eastAsia="Arial"/>
                <w:color w:val="0E1E3A"/>
                <w:sz w:val="17"/>
                <w:szCs w:val="17"/>
              </w:rPr>
              <w:t>0.33</w:t>
            </w:r>
          </w:p>
        </w:tc>
        <w:tc>
          <w:tcPr>
            <w:tcW w:type="dxa" w:w="1663"/>
          </w:tcPr>
          <w:p>
            <w:pPr>
              <w:spacing w:before="0" w:after="0" w:line="264" w:lineRule="auto"/>
            </w:pPr>
            <w:r>
              <w:rPr>
                <w:rFonts w:ascii="Arial" w:hAnsi="Arial" w:cs="Arial" w:eastAsia="Arial"/>
                <w:color w:val="0E1E3A"/>
                <w:sz w:val="17"/>
                <w:szCs w:val="17"/>
              </w:rPr>
              <w:t>0.34</w:t>
            </w:r>
          </w:p>
        </w:tc>
        <w:tc>
          <w:tcPr>
            <w:tcW w:type="dxa" w:w="1663"/>
          </w:tcPr>
          <w:p>
            <w:pPr>
              <w:spacing w:before="0" w:after="0" w:line="264" w:lineRule="auto"/>
            </w:pPr>
            <w:r>
              <w:rPr>
                <w:rFonts w:ascii="Arial" w:hAnsi="Arial" w:cs="Arial" w:eastAsia="Arial"/>
                <w:color w:val="0E1E3A"/>
                <w:sz w:val="17"/>
                <w:szCs w:val="17"/>
              </w:rPr>
              <w:t>-4.00</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RATIO9</w:t>
            </w:r>
          </w:p>
        </w:tc>
        <w:tc>
          <w:tcPr>
            <w:tcW w:type="dxa" w:w="1663"/>
          </w:tcPr>
          <w:p>
            <w:pPr>
              <w:spacing w:before="0" w:after="0" w:line="264" w:lineRule="auto"/>
            </w:pPr>
            <w:r>
              <w:rPr>
                <w:rFonts w:ascii="Arial" w:hAnsi="Arial" w:cs="Arial" w:eastAsia="Arial"/>
                <w:color w:val="0E1E3A"/>
                <w:sz w:val="17"/>
                <w:szCs w:val="17"/>
              </w:rPr>
              <w:t>2.54</w:t>
            </w:r>
          </w:p>
        </w:tc>
        <w:tc>
          <w:tcPr>
            <w:tcW w:type="dxa" w:w="1663"/>
          </w:tcPr>
          <w:p>
            <w:pPr>
              <w:spacing w:before="0" w:after="0" w:line="264" w:lineRule="auto"/>
            </w:pPr>
            <w:r>
              <w:rPr>
                <w:rFonts w:ascii="Arial" w:hAnsi="Arial" w:cs="Arial" w:eastAsia="Arial"/>
                <w:color w:val="0E1E3A"/>
                <w:sz w:val="17"/>
                <w:szCs w:val="17"/>
              </w:rPr>
              <w:t>1.54</w:t>
            </w:r>
          </w:p>
        </w:tc>
        <w:tc>
          <w:tcPr>
            <w:tcW w:type="dxa" w:w="1663"/>
          </w:tcPr>
          <w:p>
            <w:pPr>
              <w:spacing w:before="0" w:after="0" w:line="264" w:lineRule="auto"/>
            </w:pPr>
            <w:r>
              <w:rPr>
                <w:rFonts w:ascii="Arial" w:hAnsi="Arial" w:cs="Arial" w:eastAsia="Arial"/>
                <w:color w:val="0E1E3A"/>
                <w:sz w:val="17"/>
                <w:szCs w:val="17"/>
              </w:rPr>
              <w:t>-0.20</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For the period from 31 March 2023 to 30 June 2023.</w:t>
      </w:r>
      <w:r>
        <w:br/>
      </w:r>
      <w:r>
        <w:rPr>
          <w:rFonts w:ascii="Arial" w:hAnsi="Arial" w:cs="Arial" w:eastAsia="Arial"/>
          <w:color w:val="5A6478"/>
          <w:sz w:val="17"/>
          <w:szCs w:val="17"/>
        </w:rPr>
        <w:t>2. For the period from 31 December 2022 to 30 March 2023. 31 March 2023 to 30 June 2023.</w:t>
      </w:r>
      <w:r>
        <w:br/>
      </w:r>
      <w:r>
        <w:rPr>
          <w:rFonts w:ascii="Arial" w:hAnsi="Arial" w:cs="Arial" w:eastAsia="Arial"/>
          <w:color w:val="5A6478"/>
          <w:sz w:val="17"/>
          <w:szCs w:val="17"/>
        </w:rPr>
        <w:t>3. For the period from 30 June 2022 to 30 June 2023.</w:t>
      </w:r>
      <w:r>
        <w:br/>
      </w:r>
      <w:r>
        <w:rPr>
          <w:rFonts w:ascii="Arial" w:hAnsi="Arial" w:cs="Arial" w:eastAsia="Arial"/>
          <w:color w:val="5A6478"/>
          <w:sz w:val="17"/>
          <w:szCs w:val="17"/>
        </w:rPr>
        <w:t>4.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5. Sharpe Ratio is a risk-adjusted performance measure. It is calculated as the difference as the Fund Manager excess return over the risk-free rate, divided by the Standard Deviation. The greater a portfolio's Sharpe Ratio, the better its risk-adjusted performance.</w:t>
      </w:r>
      <w:r>
        <w:br/>
      </w:r>
      <w:r>
        <w:rPr>
          <w:rFonts w:ascii="Arial" w:hAnsi="Arial" w:cs="Arial" w:eastAsia="Arial"/>
          <w:color w:val="5A6478"/>
          <w:sz w:val="17"/>
          <w:szCs w:val="17"/>
        </w:rPr>
        <w:t>6. Tracking Error is a measure of risks. It is calculated as the Standard Deviation between the Fund Manager's return and the Benchmark's return. The lower the Tracking Error, the lower the Fund Manager deviates from the Benchmark.</w:t>
      </w:r>
      <w:r>
        <w:br/>
      </w:r>
      <w:r>
        <w:rPr>
          <w:rFonts w:ascii="Arial" w:hAnsi="Arial" w:cs="Arial" w:eastAsia="Arial"/>
          <w:color w:val="5A6478"/>
          <w:sz w:val="17"/>
          <w:szCs w:val="17"/>
        </w:rPr>
        <w:t>7.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8. Alpha measures any excess return achieved by the Fund compared to the performance of the index.</w:t>
      </w:r>
      <w:r>
        <w:br/>
      </w:r>
      <w:r>
        <w:rPr>
          <w:rFonts w:ascii="Arial" w:hAnsi="Arial" w:cs="Arial" w:eastAsia="Arial"/>
          <w:color w:val="5A6478"/>
          <w:sz w:val="17"/>
          <w:szCs w:val="17"/>
        </w:rPr>
        <w:t>9. Information Ratio is a risk-adjusted performance measure. It is calculated as the active return of the Fund Manager, divided by its tracking error. The higher the Information ratio, the higher the Fund Manager ability to generate excess returns per Unit of excess risk. Knowing that the performance and risk parameters were calculated based on the Unit's trading prices in the market.</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44"/>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There were no fundamental or non-fundamental developments or changes affecting the performance of the Fund.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45"/>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THE LEASING, TRADE FINANCE AND SUKUK INDUSTRIES</w:t>
      </w:r>
    </w:p>
    <w:p>
      <w:pPr>
        <w:pStyle w:val="Heading3"/>
        <w:keepNext/>
        <w:spacing w:before="160" w:after="100" w:line="300" w:lineRule="auto"/>
      </w:pPr>
      <w:r>
        <w:rPr>
          <w:rFonts w:ascii="Arial" w:hAnsi="Arial" w:cs="Arial" w:eastAsia="Arial"/>
          <w:b/>
          <w:bCs/>
          <w:color w:val="12284B"/>
          <w:sz w:val="22"/>
          <w:szCs w:val="22"/>
        </w:rPr>
        <w:t>LEASING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steady rise in short-term interest rates and stubborn inflationary pressures do not seem to have suppressed demand for productive equipment by US businesses.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the 2023 equipment outlook from US Equipment Leasing and Finance Association (ELFA), the top five hottest equipment sectors in 2023 include: construction, machine tools, medical equipment, trucks/trailers, and hi-tech/computers. Notably, construction equipment was the big winner of the survey, ranking first for the 10th consecutive year. The outlook for construction remains good based on pent-up demand for highway, commercial and civil projects.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Equipment Leasing and Finance Association’s (ELFA) Monthly Leasing and Finance Index (MLFI-25), which reports economic activity from twenty-five companies representing a cross section of the USD 1 trillion equipment finance sector, showed their overall new business volume for May 2023 was USD 9.5 billion, up 1.0% YoY from new business volume in May 2022.</w:t>
      </w:r>
    </w:p>
    <w:p>
      <w:pPr>
        <w:pStyle w:val="Heading3"/>
        <w:keepNext/>
        <w:spacing w:before="160" w:after="100" w:line="300" w:lineRule="auto"/>
      </w:pPr>
      <w:r>
        <w:rPr>
          <w:rFonts w:ascii="Arial" w:hAnsi="Arial" w:cs="Arial" w:eastAsia="Arial"/>
          <w:b/>
          <w:bCs/>
          <w:color w:val="12284B"/>
          <w:sz w:val="22"/>
          <w:szCs w:val="22"/>
        </w:rPr>
        <w:t>TRADE FINANCE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United Nations Conference on Trade and Development (UNCTAD), the global trade reached a record USD 32 trillion in 2022 - trade in goods was about USD 25 trillion (an increase of about 10% from 2021) and trade in services totaled ~USD 7 trillion (an increase of ~15% YoY).</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global trade growth was positive for both goods and services during first quarter of 2023, according to UNCTAD’s latest Global Trade Update issued in June. After the downturn in the second half of 2022, world merchandise trade rebounded in both volume and value. Over the first three months of 2023, trade in goods went up by 1.9% from the last quarter of 2022, adding about USD 100 billion. Global services trade also increased by about USD 50 billion, up by about 2.8% compared to the previous quarter.</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global trade finance gap continues to widen and is expected to have crossed the USD 2 trillion mark (Asian Development Bank). The weaknesses in global trade and supply chains needs to be addressed by digitalizing trade, widely adopting green trade practices to curtail greenhouse gas emissions and ensure greater transparency for equitable access to finance and drive greater inclusion in the global trading system.</w:t>
      </w:r>
    </w:p>
    <w:p>
      <w:pPr>
        <w:pStyle w:val="Heading3"/>
        <w:keepNext/>
        <w:spacing w:before="160" w:after="100" w:line="300" w:lineRule="auto"/>
      </w:pPr>
      <w:r>
        <w:rPr>
          <w:rFonts w:ascii="Arial" w:hAnsi="Arial" w:cs="Arial" w:eastAsia="Arial"/>
          <w:b/>
          <w:bCs/>
          <w:color w:val="12284B"/>
          <w:sz w:val="22"/>
          <w:szCs w:val="22"/>
        </w:rPr>
        <w:t>SUKUK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As per Fitch Ratings, global outstanding Sukuk reached USD 765.3 billion in 2022, 7.6% higher than a year ago. The main issuers remain the sovereigns and multilaterals.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S&amp;P Global Ratings, Global Sukuk issuance is forecast to level off in the range of USD 170 billion to USD 175 billion in 2023, after witnessing a 10% fall in 2022 to USD 178 billion. With new issuance expected to exceed maturing Sukuk, the fall in Sukuk volumes in 2023 is anticipated to be at a slower pace as against 2022.</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In terms of performance, further to the worst year in decades in global Sukuk markets in 2022, the Sukuk market has slightly recovered until end of June 2023, Dow Jones Sukuk Index (ex-reinvestment) gained 2.1% YTD, while S&amp;P GCC Sukuk Index was up 1.8% during the same period.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46"/>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 SINCE THE INCEPTION OF THE FUND *</w:t>
      </w:r>
    </w:p>
    <w:p>
      <w:pPr>
        <w:spacing w:before="0" w:after="80" w:line="240" w:lineRule="auto"/>
        <w:jc w:val="center"/>
      </w:pPr>
      <w:r>
        <w:drawing>
          <wp:inline xmlns:a="http://schemas.openxmlformats.org/drawingml/2006/main" xmlns:pic="http://schemas.openxmlformats.org/drawingml/2006/picture">
            <wp:extent cx="6336000" cy="2739892"/>
            <wp:docPr id="24" name="Picture 9047"/>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2739892"/>
                    </a:xfrm>
                    <a:prstGeom prst="rect"/>
                  </pic:spPr>
                </pic:pic>
              </a:graphicData>
            </a:graphic>
          </wp:inline>
        </w:drawing>
      </w:r>
    </w:p>
    <w:p>
      <w:pPr>
        <w:spacing w:before="0" w:after="80" w:line="312" w:lineRule="auto"/>
      </w:pPr>
      <w:r>
        <w:rPr>
          <w:rFonts w:ascii="Arial" w:hAnsi="Arial" w:cs="Arial" w:eastAsia="Arial"/>
          <w:color w:val="5A6478"/>
          <w:sz w:val="17"/>
          <w:szCs w:val="17"/>
        </w:rPr>
        <w:t>* Prices as at 22 June 2023</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48"/>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49"/>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pn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Q2 2023</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