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6"/>
            <wp:cNvGraphicFramePr/>
            <a:graphic>
              <a:graphicData uri="http://schemas.openxmlformats.org/drawingml/2006/picture">
                <pic:pic>
                  <pic:nvPicPr>
                    <pic:cNvPr id="9026" name="banner902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المتداول"(الصندوق) هو صندوق استثمار متداول، مغلق، متوافق مع ضوابط الهيئة الشرعية، وتم إنشاؤه بموجب الأنظمة واللوائح المعمول بها في المملكة العربية السعودية،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 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9.7123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491,619,706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27,958,418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‎5.69%‎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‎6.09%‎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r>
              <w:rPr>
                <w:rFonts w:ascii="Arial" w:hAnsi="Arial" w:cs="Arial" w:eastAsia="Arial"/>
                <w:b/>
                <w:bCs/>
                <w:color w:val="0E1E3A"/>
                <w:sz w:val="18"/>
                <w:szCs w:val="18"/>
                <w:rtl/>
              </w:rPr>
              <w:t>. 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3.0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491,619,706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459,213,920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‎0.55%‎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‎0.65%‎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 أتعاب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‎0.69%‎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3,195,897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460,889,953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3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99,617,014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182,484,409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31,188,430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111,487,809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66,842,043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3" name="Picture 9038"/>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2023م</w:t>
            </w:r>
          </w:p>
        </w:tc>
        <w:tc>
          <w:tcPr>
            <w:tcW w:type="dxa" w:w="6860"/>
          </w:tcPr>
          <w:p>
            <w:pPr>
              <w:bidi w:val="1"/>
              <w:spacing w:before="0" w:after="0" w:line="276" w:lineRule="auto"/>
            </w:pPr>
            <w:r>
              <w:rPr>
                <w:rFonts w:ascii="Arial" w:hAnsi="Arial" w:cs="Arial" w:eastAsia="Arial"/>
                <w:b/>
                <w:bCs/>
                <w:color w:val="0E1E3A"/>
                <w:sz w:val="18"/>
                <w:szCs w:val="18"/>
                <w:rtl/>
              </w:rPr>
              <w:t>335,698,437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2024م</w:t>
            </w:r>
          </w:p>
        </w:tc>
        <w:tc>
          <w:tcPr>
            <w:tcW w:type="dxa" w:w="6860"/>
          </w:tcPr>
          <w:p>
            <w:pPr>
              <w:bidi w:val="1"/>
              <w:spacing w:before="0" w:after="0" w:line="276" w:lineRule="auto"/>
            </w:pPr>
            <w:r>
              <w:rPr>
                <w:rFonts w:ascii="Arial" w:hAnsi="Arial" w:cs="Arial" w:eastAsia="Arial"/>
                <w:b/>
                <w:bCs/>
                <w:color w:val="0E1E3A"/>
                <w:sz w:val="18"/>
                <w:szCs w:val="18"/>
                <w:rtl/>
              </w:rPr>
              <w:t>320,568,367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2024م</w:t>
            </w:r>
          </w:p>
        </w:tc>
        <w:tc>
          <w:tcPr>
            <w:tcW w:type="dxa" w:w="6860"/>
          </w:tcPr>
          <w:p>
            <w:pPr>
              <w:bidi w:val="1"/>
              <w:spacing w:before="0" w:after="0" w:line="276" w:lineRule="auto"/>
            </w:pPr>
            <w:r>
              <w:rPr>
                <w:rFonts w:ascii="Arial" w:hAnsi="Arial" w:cs="Arial" w:eastAsia="Arial"/>
                <w:b/>
                <w:bCs/>
                <w:color w:val="0E1E3A"/>
                <w:sz w:val="18"/>
                <w:szCs w:val="18"/>
                <w:rtl/>
              </w:rPr>
              <w:t>326,714,958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2024م)</w:t>
            </w:r>
          </w:p>
        </w:tc>
        <w:tc>
          <w:tcPr>
            <w:tcW w:type="dxa" w:w="6860"/>
          </w:tcPr>
          <w:p>
            <w:pPr>
              <w:bidi w:val="1"/>
              <w:spacing w:before="0" w:after="0" w:line="276" w:lineRule="auto"/>
            </w:pPr>
            <w:r>
              <w:rPr>
                <w:rFonts w:ascii="Arial" w:hAnsi="Arial" w:cs="Arial" w:eastAsia="Arial"/>
                <w:b/>
                <w:bCs/>
                <w:color w:val="0E1E3A"/>
                <w:sz w:val="18"/>
                <w:szCs w:val="18"/>
                <w:rtl/>
              </w:rPr>
              <w:t>6.91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إلى 31 مارس 2024م إلى 30 يونيو 2024م) *</w:t>
            </w:r>
          </w:p>
        </w:tc>
        <w:tc>
          <w:tcPr>
            <w:tcW w:type="dxa" w:w="6860"/>
          </w:tcPr>
          <w:p>
            <w:pPr>
              <w:bidi w:val="1"/>
              <w:spacing w:before="0" w:after="0" w:line="276" w:lineRule="auto"/>
            </w:pPr>
            <w:r>
              <w:rPr>
                <w:rFonts w:ascii="Arial" w:hAnsi="Arial" w:cs="Arial" w:eastAsia="Arial"/>
                <w:b/>
                <w:bCs/>
                <w:color w:val="0E1E3A"/>
                <w:sz w:val="18"/>
                <w:szCs w:val="18"/>
              </w:rPr>
              <w:t>‎1.92%‎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2024م)</w:t>
            </w:r>
          </w:p>
        </w:tc>
        <w:tc>
          <w:tcPr>
            <w:tcW w:type="dxa" w:w="6860"/>
          </w:tcPr>
          <w:p>
            <w:pPr>
              <w:bidi w:val="1"/>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7.54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6.52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يونيو 2024م = 6.78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على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 *</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 **</w:t>
            </w:r>
          </w:p>
        </w:tc>
        <w:tc>
          <w:tcPr>
            <w:tcW w:type="dxa" w:w="6860"/>
          </w:tcPr>
          <w:p>
            <w:pPr>
              <w:bidi w:val="1"/>
              <w:spacing w:before="0" w:after="0" w:line="276" w:lineRule="auto"/>
            </w:pPr>
            <w:r>
              <w:rPr>
                <w:rFonts w:ascii="Arial" w:hAnsi="Arial" w:cs="Arial" w:eastAsia="Arial"/>
                <w:b/>
                <w:bCs/>
                <w:color w:val="0E1E3A"/>
                <w:sz w:val="18"/>
                <w:szCs w:val="18"/>
                <w:rtl/>
              </w:rPr>
              <w:t>13,711,626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w:t>
            </w:r>
          </w:p>
        </w:tc>
        <w:tc>
          <w:tcPr>
            <w:tcW w:type="dxa" w:w="6860"/>
          </w:tcPr>
          <w:p>
            <w:pPr>
              <w:bidi w:val="1"/>
              <w:spacing w:before="0" w:after="0" w:line="276" w:lineRule="auto"/>
            </w:pPr>
            <w:r>
              <w:rPr>
                <w:rFonts w:ascii="Arial" w:hAnsi="Arial" w:cs="Arial" w:eastAsia="Arial"/>
                <w:b/>
                <w:bCs/>
                <w:color w:val="0E1E3A"/>
                <w:sz w:val="18"/>
                <w:szCs w:val="18"/>
                <w:rtl/>
              </w:rPr>
              <w:t>169,078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يونيو 2024م)</w:t>
            </w:r>
          </w:p>
        </w:tc>
        <w:tc>
          <w:tcPr>
            <w:tcW w:type="dxa" w:w="6860"/>
          </w:tcPr>
          <w:p>
            <w:pPr>
              <w:bidi w:val="1"/>
              <w:spacing w:before="0" w:after="0" w:line="276" w:lineRule="auto"/>
            </w:pPr>
            <w:r>
              <w:rPr>
                <w:rFonts w:ascii="Arial" w:hAnsi="Arial" w:cs="Arial" w:eastAsia="Arial"/>
                <w:b/>
                <w:bCs/>
                <w:color w:val="0E1E3A"/>
                <w:sz w:val="18"/>
                <w:szCs w:val="18"/>
              </w:rPr>
              <w:t>‎0.05%‎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ابريل 2024م إلى 30 يونيو 2024م.</w:t>
      </w:r>
      <w:r>
        <w:br/>
      </w:r>
      <w:r>
        <w:rPr>
          <w:rFonts w:ascii="Arial" w:hAnsi="Arial" w:cs="Arial" w:eastAsia="Arial"/>
          <w:color w:val="5A6478"/>
          <w:sz w:val="17"/>
          <w:szCs w:val="17"/>
          <w:rtl/>
        </w:rPr>
        <w:t>** من 1 يناير 2024م إلى 30 يونيو 2024م (تم دفع الأرباح الموزعة بتاريخ 25 فبراير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شهرًا، زائد 300 نقطة أساس *</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‎1.92%‎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‎-30.90%‎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‎-14.84%‎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سعر الوحدة بتاريخ 31 مارس 2024م = 6.78 ر.س</w:t>
      </w:r>
      <w:r>
        <w:br/>
      </w:r>
      <w:r>
        <w:rPr>
          <w:rFonts w:ascii="Arial" w:hAnsi="Arial" w:cs="Arial" w:eastAsia="Arial"/>
          <w:color w:val="5A6478"/>
          <w:sz w:val="17"/>
          <w:szCs w:val="17"/>
          <w:rtl/>
        </w:rPr>
        <w:t>*** من تاريخ بدء الصندوق إلى نهاية الربع الثاني من العام 2024م.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شهرًا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شهرًا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 *</w:t>
            </w:r>
          </w:p>
        </w:tc>
        <w:tc>
          <w:tcPr>
            <w:tcW w:type="dxa" w:w="3326"/>
          </w:tcPr>
          <w:p>
            <w:pPr>
              <w:bidi w:val="1"/>
              <w:spacing w:before="0" w:after="0" w:line="264" w:lineRule="auto"/>
            </w:pPr>
            <w:r>
              <w:rPr>
                <w:rFonts w:ascii="Arial" w:hAnsi="Arial" w:cs="Arial" w:eastAsia="Arial"/>
                <w:color w:val="0E1E3A"/>
                <w:sz w:val="17"/>
                <w:szCs w:val="17"/>
                <w:rtl/>
              </w:rPr>
              <w:t>9.7832</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 **</w:t>
            </w:r>
          </w:p>
        </w:tc>
        <w:tc>
          <w:tcPr>
            <w:tcW w:type="dxa" w:w="3326"/>
          </w:tcPr>
          <w:p>
            <w:pPr>
              <w:bidi w:val="1"/>
              <w:spacing w:before="0" w:after="0" w:line="264" w:lineRule="auto"/>
            </w:pPr>
            <w:r>
              <w:rPr>
                <w:rFonts w:ascii="Arial" w:hAnsi="Arial" w:cs="Arial" w:eastAsia="Arial"/>
                <w:color w:val="0E1E3A"/>
                <w:sz w:val="17"/>
                <w:szCs w:val="17"/>
                <w:rtl/>
              </w:rPr>
              <w:t>9.7123</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‎-0.72%‎</w:t>
            </w:r>
          </w:p>
        </w:tc>
        <w:tc>
          <w:tcPr>
            <w:tcW w:type="dxa" w:w="3326"/>
          </w:tcPr>
          <w:p>
            <w:pPr>
              <w:bidi w:val="1"/>
              <w:spacing w:before="0" w:after="0" w:line="264" w:lineRule="auto"/>
            </w:pPr>
            <w:r>
              <w:rPr>
                <w:rFonts w:ascii="Arial" w:hAnsi="Arial" w:cs="Arial" w:eastAsia="Arial"/>
                <w:color w:val="0E1E3A"/>
                <w:sz w:val="17"/>
                <w:szCs w:val="17"/>
                <w:rtl/>
              </w:rPr>
              <w:t xml:space="preserve">*** </w:t>
            </w:r>
            <w:r>
              <w:rPr>
                <w:rFonts w:ascii="Arial" w:hAnsi="Arial" w:cs="Arial" w:eastAsia="Arial"/>
                <w:color w:val="0E1E3A"/>
                <w:sz w:val="17"/>
                <w:szCs w:val="17"/>
              </w:rPr>
              <w:t>‎2.01%‎</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2024م.</w:t>
      </w:r>
      <w:r>
        <w:br/>
      </w:r>
      <w:r>
        <w:rPr>
          <w:rFonts w:ascii="Arial" w:hAnsi="Arial" w:cs="Arial" w:eastAsia="Arial"/>
          <w:color w:val="5A6478"/>
          <w:sz w:val="17"/>
          <w:szCs w:val="17"/>
          <w:rtl/>
        </w:rPr>
        <w:t>** كما في تاريخ 30 يونيو 2024م.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‎8.22%‎</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‎2.01%‎</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‎-0.72%‎</w:t>
            </w:r>
          </w:p>
        </w:tc>
        <w:tc>
          <w:tcPr>
            <w:tcW w:type="dxa" w:w="1663"/>
          </w:tcPr>
          <w:p>
            <w:pPr>
              <w:bidi w:val="1"/>
              <w:spacing w:before="0" w:after="0" w:line="264" w:lineRule="auto"/>
            </w:pPr>
            <w:r>
              <w:rPr>
                <w:rFonts w:ascii="Arial" w:hAnsi="Arial" w:cs="Arial" w:eastAsia="Arial"/>
                <w:color w:val="0E1E3A"/>
                <w:sz w:val="17"/>
                <w:szCs w:val="17"/>
              </w:rPr>
              <w:t>‎0.82%‎</w:t>
            </w:r>
          </w:p>
        </w:tc>
        <w:tc>
          <w:tcPr>
            <w:tcW w:type="dxa" w:w="1663"/>
          </w:tcPr>
          <w:p>
            <w:pPr>
              <w:bidi w:val="1"/>
              <w:spacing w:before="0" w:after="0" w:line="264" w:lineRule="auto"/>
            </w:pPr>
            <w:r>
              <w:rPr>
                <w:rFonts w:ascii="Arial" w:hAnsi="Arial" w:cs="Arial" w:eastAsia="Arial"/>
                <w:color w:val="0E1E3A"/>
                <w:sz w:val="17"/>
                <w:szCs w:val="17"/>
              </w:rPr>
              <w:t>‎3.40%‎</w:t>
            </w:r>
          </w:p>
        </w:tc>
        <w:tc>
          <w:tcPr>
            <w:tcW w:type="dxa" w:w="1663"/>
          </w:tcPr>
          <w:p>
            <w:pPr>
              <w:bidi w:val="1"/>
              <w:spacing w:before="0" w:after="0" w:line="264" w:lineRule="auto"/>
            </w:pPr>
            <w:r>
              <w:rPr>
                <w:rFonts w:ascii="Arial" w:hAnsi="Arial" w:cs="Arial" w:eastAsia="Arial"/>
                <w:color w:val="0E1E3A"/>
                <w:sz w:val="17"/>
                <w:szCs w:val="17"/>
              </w:rPr>
              <w:t>‎11.74%‎</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‎2.01%‎</w:t>
            </w:r>
          </w:p>
        </w:tc>
        <w:tc>
          <w:tcPr>
            <w:tcW w:type="dxa" w:w="1663"/>
          </w:tcPr>
          <w:p>
            <w:pPr>
              <w:bidi w:val="1"/>
              <w:spacing w:before="0" w:after="0" w:line="264" w:lineRule="auto"/>
            </w:pPr>
            <w:r>
              <w:rPr>
                <w:rFonts w:ascii="Arial" w:hAnsi="Arial" w:cs="Arial" w:eastAsia="Arial"/>
                <w:color w:val="0E1E3A"/>
                <w:sz w:val="17"/>
                <w:szCs w:val="17"/>
              </w:rPr>
              <w:t>‎3.95%‎</w:t>
            </w:r>
          </w:p>
        </w:tc>
        <w:tc>
          <w:tcPr>
            <w:tcW w:type="dxa" w:w="1663"/>
          </w:tcPr>
          <w:p>
            <w:pPr>
              <w:bidi w:val="1"/>
              <w:spacing w:before="0" w:after="0" w:line="264" w:lineRule="auto"/>
            </w:pPr>
            <w:r>
              <w:rPr>
                <w:rFonts w:ascii="Arial" w:hAnsi="Arial" w:cs="Arial" w:eastAsia="Arial"/>
                <w:color w:val="0E1E3A"/>
                <w:sz w:val="17"/>
                <w:szCs w:val="17"/>
              </w:rPr>
              <w:t>‎8.22%‎</w:t>
            </w:r>
          </w:p>
        </w:tc>
        <w:tc>
          <w:tcPr>
            <w:tcW w:type="dxa" w:w="1663"/>
          </w:tcPr>
          <w:p>
            <w:pPr>
              <w:bidi w:val="1"/>
              <w:spacing w:before="0" w:after="0" w:line="264" w:lineRule="auto"/>
            </w:pPr>
            <w:r>
              <w:rPr>
                <w:rFonts w:ascii="Arial" w:hAnsi="Arial" w:cs="Arial" w:eastAsia="Arial"/>
                <w:color w:val="0E1E3A"/>
                <w:sz w:val="17"/>
                <w:szCs w:val="17"/>
              </w:rPr>
              <w:t>‎21.92%‎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‎-2.73%‎</w:t>
            </w:r>
          </w:p>
        </w:tc>
        <w:tc>
          <w:tcPr>
            <w:tcW w:type="dxa" w:w="1663"/>
          </w:tcPr>
          <w:p>
            <w:pPr>
              <w:bidi w:val="1"/>
              <w:spacing w:before="0" w:after="0" w:line="264" w:lineRule="auto"/>
            </w:pPr>
            <w:r>
              <w:rPr>
                <w:rFonts w:ascii="Arial" w:hAnsi="Arial" w:cs="Arial" w:eastAsia="Arial"/>
                <w:color w:val="0E1E3A"/>
                <w:sz w:val="17"/>
                <w:szCs w:val="17"/>
              </w:rPr>
              <w:t>‎-3.13%‎</w:t>
            </w:r>
          </w:p>
        </w:tc>
        <w:tc>
          <w:tcPr>
            <w:tcW w:type="dxa" w:w="1663"/>
          </w:tcPr>
          <w:p>
            <w:pPr>
              <w:bidi w:val="1"/>
              <w:spacing w:before="0" w:after="0" w:line="264" w:lineRule="auto"/>
            </w:pPr>
            <w:r>
              <w:rPr>
                <w:rFonts w:ascii="Arial" w:hAnsi="Arial" w:cs="Arial" w:eastAsia="Arial"/>
                <w:color w:val="0E1E3A"/>
                <w:sz w:val="17"/>
                <w:szCs w:val="17"/>
              </w:rPr>
              <w:t>‎-4.82%‎</w:t>
            </w:r>
          </w:p>
        </w:tc>
        <w:tc>
          <w:tcPr>
            <w:tcW w:type="dxa" w:w="1663"/>
          </w:tcPr>
          <w:p>
            <w:pPr>
              <w:bidi w:val="1"/>
              <w:spacing w:before="0" w:after="0" w:line="264" w:lineRule="auto"/>
            </w:pPr>
            <w:r>
              <w:rPr>
                <w:rFonts w:ascii="Arial" w:hAnsi="Arial" w:cs="Arial" w:eastAsia="Arial"/>
                <w:color w:val="0E1E3A"/>
                <w:sz w:val="17"/>
                <w:szCs w:val="17"/>
              </w:rPr>
              <w:t>‎-10.18%‎</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31 مارس 2024م إلى 30 يونيو 2024م.</w:t>
      </w:r>
      <w:r>
        <w:br/>
      </w:r>
      <w:r>
        <w:rPr>
          <w:rFonts w:ascii="Arial" w:hAnsi="Arial" w:cs="Arial" w:eastAsia="Arial"/>
          <w:color w:val="5A6478"/>
          <w:sz w:val="17"/>
          <w:szCs w:val="17"/>
          <w:rtl/>
        </w:rPr>
        <w:t xml:space="preserve">** عن الفترة من 31 ديسمبر 2023م إلى 30 يونيو 2024م متضمنة التوزيعات النقدية بنسبة </w:t>
      </w:r>
      <w:r>
        <w:rPr>
          <w:rFonts w:ascii="Arial" w:hAnsi="Arial" w:cs="Arial" w:eastAsia="Arial"/>
          <w:color w:val="5A6478"/>
          <w:sz w:val="17"/>
          <w:szCs w:val="17"/>
        </w:rPr>
        <w:t>‎2.90%‎</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30 يونيو 2023م إلى 30 يونيو 2024م متضمنة توزيعات نقدية بنسبة </w:t>
      </w:r>
      <w:r>
        <w:rPr>
          <w:rFonts w:ascii="Arial" w:hAnsi="Arial" w:cs="Arial" w:eastAsia="Arial"/>
          <w:color w:val="5A6478"/>
          <w:sz w:val="17"/>
          <w:szCs w:val="17"/>
        </w:rPr>
        <w:t>‎5.70%‎</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4</w:t>
            </w:r>
          </w:p>
        </w:tc>
        <w:tc>
          <w:tcPr>
            <w:tcW w:type="dxa" w:w="1663"/>
          </w:tcPr>
          <w:p>
            <w:pPr>
              <w:bidi w:val="1"/>
              <w:spacing w:before="0" w:after="0" w:line="264" w:lineRule="auto"/>
            </w:pPr>
            <w:r>
              <w:rPr>
                <w:rFonts w:ascii="Arial" w:hAnsi="Arial" w:cs="Arial" w:eastAsia="Arial"/>
                <w:color w:val="0E1E3A"/>
                <w:sz w:val="17"/>
                <w:szCs w:val="17"/>
                <w:rtl/>
              </w:rPr>
              <w:t>5.91</w:t>
            </w:r>
          </w:p>
        </w:tc>
        <w:tc>
          <w:tcPr>
            <w:tcW w:type="dxa" w:w="1663"/>
          </w:tcPr>
          <w:p>
            <w:pPr>
              <w:bidi w:val="1"/>
              <w:spacing w:before="0" w:after="0" w:line="264" w:lineRule="auto"/>
            </w:pPr>
            <w:r>
              <w:rPr>
                <w:rFonts w:ascii="Arial" w:hAnsi="Arial" w:cs="Arial" w:eastAsia="Arial"/>
                <w:color w:val="0E1E3A"/>
                <w:sz w:val="17"/>
                <w:szCs w:val="17"/>
                <w:rtl/>
              </w:rPr>
              <w:t>7.06</w:t>
            </w:r>
          </w:p>
        </w:tc>
        <w:tc>
          <w:tcPr>
            <w:tcW w:type="dxa" w:w="1663"/>
          </w:tcPr>
          <w:p>
            <w:pPr>
              <w:bidi w:val="1"/>
              <w:spacing w:before="0" w:after="0" w:line="264" w:lineRule="auto"/>
            </w:pPr>
            <w:r>
              <w:rPr>
                <w:rFonts w:ascii="Arial" w:hAnsi="Arial" w:cs="Arial" w:eastAsia="Arial"/>
                <w:color w:val="0E1E3A"/>
                <w:sz w:val="17"/>
                <w:szCs w:val="17"/>
                <w:rtl/>
              </w:rPr>
              <w:t>9.19</w:t>
            </w:r>
          </w:p>
        </w:tc>
        <w:tc>
          <w:tcPr>
            <w:tcW w:type="dxa" w:w="1663"/>
          </w:tcPr>
          <w:p>
            <w:pPr>
              <w:bidi w:val="1"/>
              <w:spacing w:before="0" w:after="0" w:line="264" w:lineRule="auto"/>
            </w:pPr>
            <w:r>
              <w:rPr>
                <w:rFonts w:ascii="Arial" w:hAnsi="Arial" w:cs="Arial" w:eastAsia="Arial"/>
                <w:color w:val="0E1E3A"/>
                <w:sz w:val="17"/>
                <w:szCs w:val="17"/>
                <w:rtl/>
              </w:rPr>
              <w:t>13.76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5</w:t>
            </w:r>
          </w:p>
        </w:tc>
        <w:tc>
          <w:tcPr>
            <w:tcW w:type="dxa" w:w="1663"/>
          </w:tcPr>
          <w:p>
            <w:pPr>
              <w:bidi w:val="1"/>
              <w:spacing w:before="0" w:after="0" w:line="264" w:lineRule="auto"/>
            </w:pPr>
            <w:r>
              <w:rPr>
                <w:rFonts w:ascii="Arial" w:hAnsi="Arial" w:cs="Arial" w:eastAsia="Arial"/>
                <w:color w:val="0E1E3A"/>
                <w:sz w:val="17"/>
                <w:szCs w:val="17"/>
                <w:rtl/>
              </w:rPr>
              <w:t>-0.45</w:t>
            </w:r>
          </w:p>
        </w:tc>
        <w:tc>
          <w:tcPr>
            <w:tcW w:type="dxa" w:w="1663"/>
          </w:tcPr>
          <w:p>
            <w:pPr>
              <w:bidi w:val="1"/>
              <w:spacing w:before="0" w:after="0" w:line="264" w:lineRule="auto"/>
            </w:pPr>
            <w:r>
              <w:rPr>
                <w:rFonts w:ascii="Arial" w:hAnsi="Arial" w:cs="Arial" w:eastAsia="Arial"/>
                <w:color w:val="0E1E3A"/>
                <w:sz w:val="17"/>
                <w:szCs w:val="17"/>
                <w:rtl/>
              </w:rPr>
              <w:t>0.17</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-0.52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6</w:t>
            </w:r>
          </w:p>
        </w:tc>
        <w:tc>
          <w:tcPr>
            <w:tcW w:type="dxa" w:w="1663"/>
          </w:tcPr>
          <w:p>
            <w:pPr>
              <w:bidi w:val="1"/>
              <w:spacing w:before="0" w:after="0" w:line="264" w:lineRule="auto"/>
            </w:pPr>
            <w:r>
              <w:rPr>
                <w:rFonts w:ascii="Arial" w:hAnsi="Arial" w:cs="Arial" w:eastAsia="Arial"/>
                <w:color w:val="0E1E3A"/>
                <w:sz w:val="17"/>
                <w:szCs w:val="17"/>
                <w:rtl/>
              </w:rPr>
              <w:t>6.00</w:t>
            </w:r>
          </w:p>
        </w:tc>
        <w:tc>
          <w:tcPr>
            <w:tcW w:type="dxa" w:w="1663"/>
          </w:tcPr>
          <w:p>
            <w:pPr>
              <w:bidi w:val="1"/>
              <w:spacing w:before="0" w:after="0" w:line="264" w:lineRule="auto"/>
            </w:pPr>
            <w:r>
              <w:rPr>
                <w:rFonts w:ascii="Arial" w:hAnsi="Arial" w:cs="Arial" w:eastAsia="Arial"/>
                <w:color w:val="0E1E3A"/>
                <w:sz w:val="17"/>
                <w:szCs w:val="17"/>
                <w:rtl/>
              </w:rPr>
              <w:t>7.10</w:t>
            </w:r>
          </w:p>
        </w:tc>
        <w:tc>
          <w:tcPr>
            <w:tcW w:type="dxa" w:w="1663"/>
          </w:tcPr>
          <w:p>
            <w:pPr>
              <w:bidi w:val="1"/>
              <w:spacing w:before="0" w:after="0" w:line="264" w:lineRule="auto"/>
            </w:pPr>
            <w:r>
              <w:rPr>
                <w:rFonts w:ascii="Arial" w:hAnsi="Arial" w:cs="Arial" w:eastAsia="Arial"/>
                <w:color w:val="0E1E3A"/>
                <w:sz w:val="17"/>
                <w:szCs w:val="17"/>
                <w:rtl/>
              </w:rPr>
              <w:t>9.36</w:t>
            </w:r>
          </w:p>
        </w:tc>
        <w:tc>
          <w:tcPr>
            <w:tcW w:type="dxa" w:w="1663"/>
          </w:tcPr>
          <w:p>
            <w:pPr>
              <w:bidi w:val="1"/>
              <w:spacing w:before="0" w:after="0" w:line="264" w:lineRule="auto"/>
            </w:pPr>
            <w:r>
              <w:rPr>
                <w:rFonts w:ascii="Arial" w:hAnsi="Arial" w:cs="Arial" w:eastAsia="Arial"/>
                <w:color w:val="0E1E3A"/>
                <w:sz w:val="17"/>
                <w:szCs w:val="17"/>
                <w:rtl/>
              </w:rPr>
              <w:t>13.81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7</w:t>
            </w:r>
          </w:p>
        </w:tc>
        <w:tc>
          <w:tcPr>
            <w:tcW w:type="dxa" w:w="1663"/>
          </w:tcPr>
          <w:p>
            <w:pPr>
              <w:bidi w:val="1"/>
              <w:spacing w:before="0" w:after="0" w:line="264" w:lineRule="auto"/>
            </w:pPr>
            <w:r>
              <w:rPr>
                <w:rFonts w:ascii="Arial" w:hAnsi="Arial" w:cs="Arial" w:eastAsia="Arial"/>
                <w:color w:val="0E1E3A"/>
                <w:sz w:val="17"/>
                <w:szCs w:val="17"/>
                <w:rtl/>
              </w:rPr>
              <w:t>-5.67</w:t>
            </w:r>
          </w:p>
        </w:tc>
        <w:tc>
          <w:tcPr>
            <w:tcW w:type="dxa" w:w="1663"/>
          </w:tcPr>
          <w:p>
            <w:pPr>
              <w:bidi w:val="1"/>
              <w:spacing w:before="0" w:after="0" w:line="264" w:lineRule="auto"/>
            </w:pPr>
            <w:r>
              <w:rPr>
                <w:rFonts w:ascii="Arial" w:hAnsi="Arial" w:cs="Arial" w:eastAsia="Arial"/>
                <w:color w:val="0E1E3A"/>
                <w:sz w:val="17"/>
                <w:szCs w:val="17"/>
                <w:rtl/>
              </w:rPr>
              <w:t>-6.45</w:t>
            </w:r>
          </w:p>
        </w:tc>
        <w:tc>
          <w:tcPr>
            <w:tcW w:type="dxa" w:w="1663"/>
          </w:tcPr>
          <w:p>
            <w:pPr>
              <w:bidi w:val="1"/>
              <w:spacing w:before="0" w:after="0" w:line="264" w:lineRule="auto"/>
            </w:pPr>
            <w:r>
              <w:rPr>
                <w:rFonts w:ascii="Arial" w:hAnsi="Arial" w:cs="Arial" w:eastAsia="Arial"/>
                <w:color w:val="0E1E3A"/>
                <w:sz w:val="17"/>
                <w:szCs w:val="17"/>
                <w:rtl/>
              </w:rPr>
              <w:t>-1.98</w:t>
            </w:r>
          </w:p>
        </w:tc>
        <w:tc>
          <w:tcPr>
            <w:tcW w:type="dxa" w:w="1663"/>
          </w:tcPr>
          <w:p>
            <w:pPr>
              <w:bidi w:val="1"/>
              <w:spacing w:before="0" w:after="0" w:line="264" w:lineRule="auto"/>
            </w:pPr>
            <w:r>
              <w:rPr>
                <w:rFonts w:ascii="Arial" w:hAnsi="Arial" w:cs="Arial" w:eastAsia="Arial"/>
                <w:color w:val="0E1E3A"/>
                <w:sz w:val="17"/>
                <w:szCs w:val="17"/>
                <w:rtl/>
              </w:rPr>
              <w:t>-1.67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8</w:t>
            </w:r>
          </w:p>
        </w:tc>
        <w:tc>
          <w:tcPr>
            <w:tcW w:type="dxa" w:w="1663"/>
          </w:tcPr>
          <w:p>
            <w:pPr>
              <w:bidi w:val="1"/>
              <w:spacing w:before="0" w:after="0" w:line="264" w:lineRule="auto"/>
            </w:pPr>
            <w:r>
              <w:rPr>
                <w:rFonts w:ascii="Arial" w:hAnsi="Arial" w:cs="Arial" w:eastAsia="Arial"/>
                <w:color w:val="0E1E3A"/>
                <w:sz w:val="17"/>
                <w:szCs w:val="17"/>
                <w:rtl/>
              </w:rPr>
              <w:t>-5.94</w:t>
            </w:r>
          </w:p>
        </w:tc>
        <w:tc>
          <w:tcPr>
            <w:tcW w:type="dxa" w:w="1663"/>
          </w:tcPr>
          <w:p>
            <w:pPr>
              <w:bidi w:val="1"/>
              <w:spacing w:before="0" w:after="0" w:line="264" w:lineRule="auto"/>
            </w:pPr>
            <w:r>
              <w:rPr>
                <w:rFonts w:ascii="Arial" w:hAnsi="Arial" w:cs="Arial" w:eastAsia="Arial"/>
                <w:color w:val="0E1E3A"/>
                <w:sz w:val="17"/>
                <w:szCs w:val="17"/>
                <w:rtl/>
              </w:rPr>
              <w:t>-1.70</w:t>
            </w:r>
          </w:p>
        </w:tc>
        <w:tc>
          <w:tcPr>
            <w:tcW w:type="dxa" w:w="1663"/>
          </w:tcPr>
          <w:p>
            <w:pPr>
              <w:bidi w:val="1"/>
              <w:spacing w:before="0" w:after="0" w:line="264" w:lineRule="auto"/>
            </w:pPr>
            <w:r>
              <w:rPr>
                <w:rFonts w:ascii="Arial" w:hAnsi="Arial" w:cs="Arial" w:eastAsia="Arial"/>
                <w:color w:val="0E1E3A"/>
                <w:sz w:val="17"/>
                <w:szCs w:val="17"/>
                <w:rtl/>
              </w:rPr>
              <w:t>-3.31</w:t>
            </w:r>
          </w:p>
        </w:tc>
        <w:tc>
          <w:tcPr>
            <w:tcW w:type="dxa" w:w="1663"/>
          </w:tcPr>
          <w:p>
            <w:pPr>
              <w:bidi w:val="1"/>
              <w:spacing w:before="0" w:after="0" w:line="264" w:lineRule="auto"/>
            </w:pPr>
            <w:r>
              <w:rPr>
                <w:rFonts w:ascii="Arial" w:hAnsi="Arial" w:cs="Arial" w:eastAsia="Arial"/>
                <w:color w:val="0E1E3A"/>
                <w:sz w:val="17"/>
                <w:szCs w:val="17"/>
                <w:rtl/>
              </w:rPr>
              <w:t>-8.69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9</w:t>
            </w:r>
          </w:p>
        </w:tc>
        <w:tc>
          <w:tcPr>
            <w:tcW w:type="dxa" w:w="1663"/>
          </w:tcPr>
          <w:p>
            <w:pPr>
              <w:bidi w:val="1"/>
              <w:spacing w:before="0" w:after="0" w:line="264" w:lineRule="auto"/>
            </w:pPr>
            <w:r>
              <w:rPr>
                <w:rFonts w:ascii="Arial" w:hAnsi="Arial" w:cs="Arial" w:eastAsia="Arial"/>
                <w:color w:val="0E1E3A"/>
                <w:sz w:val="17"/>
                <w:szCs w:val="17"/>
                <w:rtl/>
              </w:rPr>
              <w:t>-0.99</w:t>
            </w:r>
          </w:p>
        </w:tc>
        <w:tc>
          <w:tcPr>
            <w:tcW w:type="dxa" w:w="1663"/>
          </w:tcPr>
          <w:p>
            <w:pPr>
              <w:bidi w:val="1"/>
              <w:spacing w:before="0" w:after="0" w:line="264" w:lineRule="auto"/>
            </w:pPr>
            <w:r>
              <w:rPr>
                <w:rFonts w:ascii="Arial" w:hAnsi="Arial" w:cs="Arial" w:eastAsia="Arial"/>
                <w:color w:val="0E1E3A"/>
                <w:sz w:val="17"/>
                <w:szCs w:val="17"/>
                <w:rtl/>
              </w:rPr>
              <w:t>-0.24</w:t>
            </w:r>
          </w:p>
        </w:tc>
        <w:tc>
          <w:tcPr>
            <w:tcW w:type="dxa" w:w="1663"/>
          </w:tcPr>
          <w:p>
            <w:pPr>
              <w:bidi w:val="1"/>
              <w:spacing w:before="0" w:after="0" w:line="264" w:lineRule="auto"/>
            </w:pPr>
            <w:r>
              <w:rPr>
                <w:rFonts w:ascii="Arial" w:hAnsi="Arial" w:cs="Arial" w:eastAsia="Arial"/>
                <w:color w:val="0E1E3A"/>
                <w:sz w:val="17"/>
                <w:szCs w:val="17"/>
                <w:rtl/>
              </w:rPr>
              <w:t>-0.35</w:t>
            </w:r>
          </w:p>
        </w:tc>
        <w:tc>
          <w:tcPr>
            <w:tcW w:type="dxa" w:w="1663"/>
          </w:tcPr>
          <w:p>
            <w:pPr>
              <w:bidi w:val="1"/>
              <w:spacing w:before="0" w:after="0" w:line="264" w:lineRule="auto"/>
            </w:pPr>
            <w:r>
              <w:rPr>
                <w:rFonts w:ascii="Arial" w:hAnsi="Arial" w:cs="Arial" w:eastAsia="Arial"/>
                <w:color w:val="0E1E3A"/>
                <w:sz w:val="17"/>
                <w:szCs w:val="17"/>
                <w:rtl/>
              </w:rPr>
              <w:t>-0.63</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31 مارس 2024م إلى 30 يونيو 2024م.</w:t>
      </w:r>
      <w:r>
        <w:br/>
      </w:r>
      <w:r>
        <w:rPr>
          <w:rFonts w:ascii="Arial" w:hAnsi="Arial" w:cs="Arial" w:eastAsia="Arial"/>
          <w:color w:val="5A6478"/>
          <w:sz w:val="17"/>
          <w:szCs w:val="17"/>
          <w:rtl/>
        </w:rPr>
        <w:t>2. عن الفترة من 31 ديسمبر 2023م إلى 30 يونيو 2024م.</w:t>
      </w:r>
      <w:r>
        <w:br/>
      </w:r>
      <w:r>
        <w:rPr>
          <w:rFonts w:ascii="Arial" w:hAnsi="Arial" w:cs="Arial" w:eastAsia="Arial"/>
          <w:color w:val="5A6478"/>
          <w:sz w:val="17"/>
          <w:szCs w:val="17"/>
          <w:rtl/>
        </w:rPr>
        <w:t>3. عن الفترة من 30 يونيو 2023م إلى 30 يونيو 2024م.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اعلى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8"/>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حافظت البنوك والمقرضون الآخرون على توقعات إيجابية لسوق الإقراض القائم على الأصول في الربع الأول من العام 2024م، مدفوعة بتوقعات الهبوط البطيئ للاقتصاد الأمريكي. ومع ذلك، يظل المقرضون حذرين بشأن التغييرات التنظيمية القادمة ويراقبون المحافظ الاستثمارية لضغوط ما بعد الجائحة.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أظهر مؤشر ELFA للإجارة والتمويل الشهري (MLFI-25)، الذي يسجل النشاط الاقتصادي لخمسة وعشرين شركة تمثل قطاعا عريضا من قطاع تمويل المعدات الذي تبلغ قيمته تريليون دولار أمريكي، أن إجمالي حجم أعمالها الجديدة لشهر مايو 2024م بلغ 10.2 مليار دولار أمريكي، أي ما يعادل زيادة قدرها </w:t>
      </w:r>
      <w:r>
        <w:rPr>
          <w:rFonts w:ascii="Arial" w:hAnsi="Arial" w:cs="Arial" w:eastAsia="Arial"/>
          <w:color w:val="0E1E3A"/>
          <w:sz w:val="20"/>
          <w:szCs w:val="20"/>
        </w:rPr>
        <w:t>‎11%‎</w:t>
      </w:r>
      <w:r>
        <w:rPr>
          <w:rFonts w:ascii="Arial" w:hAnsi="Arial" w:cs="Arial" w:eastAsia="Arial"/>
          <w:color w:val="0E1E3A"/>
          <w:sz w:val="20"/>
          <w:szCs w:val="20"/>
          <w:rtl/>
        </w:rPr>
        <w:t xml:space="preserve"> على أساس سنوي. ومنذ بداية العام حتى الآن، ارتفع حجم الأعمال التراكمية الجديدة بنسبة </w:t>
      </w:r>
      <w:r>
        <w:rPr>
          <w:rFonts w:ascii="Arial" w:hAnsi="Arial" w:cs="Arial" w:eastAsia="Arial"/>
          <w:color w:val="0E1E3A"/>
          <w:sz w:val="20"/>
          <w:szCs w:val="20"/>
        </w:rPr>
        <w:t>‎6.0%‎</w:t>
      </w:r>
      <w:r>
        <w:rPr>
          <w:rFonts w:ascii="Arial" w:hAnsi="Arial" w:cs="Arial" w:eastAsia="Arial"/>
          <w:color w:val="0E1E3A"/>
          <w:sz w:val="20"/>
          <w:szCs w:val="20"/>
          <w:rtl/>
        </w:rPr>
        <w:t xml:space="preserve"> مقارنة بالعام 2023م.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 بشكل منفصل، انخفض مؤشر الثقة الشهري لمؤسسة تأجير وتمويل المعدات (ELFF) (MCI-EFI)؛ والذي يشير إلى تقييم نوعي لكل من ظروف العمل السائدة والتوقعات لمستقبل قطاع تمويل المعدات، وذلك بشكل طفيف إلى 50.2 في يونيو من 50.7 في مايو.</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لتقرير البنك الدولي عن التوقعات الاقتصادية العالمية (يونيو/حزيران 2024م)، من المتوقع أن يرتفع نمو التجارة العالمية إلى </w:t>
      </w:r>
      <w:r>
        <w:rPr>
          <w:rFonts w:ascii="Arial" w:hAnsi="Arial" w:cs="Arial" w:eastAsia="Arial"/>
          <w:color w:val="0E1E3A"/>
          <w:sz w:val="20"/>
          <w:szCs w:val="20"/>
        </w:rPr>
        <w:t>‎2.5%‎</w:t>
      </w:r>
      <w:r>
        <w:rPr>
          <w:rFonts w:ascii="Arial" w:hAnsi="Arial" w:cs="Arial" w:eastAsia="Arial"/>
          <w:color w:val="0E1E3A"/>
          <w:sz w:val="20"/>
          <w:szCs w:val="20"/>
          <w:rtl/>
        </w:rPr>
        <w:t xml:space="preserve"> في عام 2024م، ليتعافى من نمو شبه ثابت في العام 2023م، ولكنه لا يزال أقل من متوسطات ما قبل الجائحة. ومن المتوقع أن تنتعش تجارة السلع مع انتعاش الطلب العالمي، خاصة في الولايات المتحدة ومنطقة اليورو والصين، وسوف يستقر نمو تجارة الخدمات بالقرب من معدلات ما قبل الجائحة.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توسعت التجارة العالمية في مايو 2024م، وهو التوسع الثاني منذ مارس 2022م، ووفقا لمسح مؤشر مديري المشتريات العالمي لشركة S&amp;P. بقي مؤشر مديري المشتريات العالمي لطلبات التصدير الجديدة عند 50.6 في مايو (ثابت مقابل أبريل)، مسجلا الشهر الثاني من ارتفاع الصادرات وتحسن الظروف التجارية في التصنيع والخدمات.</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اتسعت فجوة تمويل التجارة العالمية إلى 2.5 تريليون دولار أمريكي (وفقا لأحدث استطلاع لبنك التنمية الآسيوي في سبتمبر 2023م)، مسجلا زيادة بنسبة 47 ٪ عن المسح السابق الذي قدر فجوة تمويل التجارة للعام 2020م بنحو 1.7 تريليون دولار أمريكي. وتمثل الفجوة الآن نحو </w:t>
      </w:r>
      <w:r>
        <w:rPr>
          <w:rFonts w:ascii="Arial" w:hAnsi="Arial" w:cs="Arial" w:eastAsia="Arial"/>
          <w:color w:val="0E1E3A"/>
          <w:sz w:val="20"/>
          <w:szCs w:val="20"/>
        </w:rPr>
        <w:t>‎10%‎</w:t>
      </w:r>
      <w:r>
        <w:rPr>
          <w:rFonts w:ascii="Arial" w:hAnsi="Arial" w:cs="Arial" w:eastAsia="Arial"/>
          <w:color w:val="0E1E3A"/>
          <w:sz w:val="20"/>
          <w:szCs w:val="20"/>
          <w:rtl/>
        </w:rPr>
        <w:t xml:space="preserve"> من تجارة البضائع العالمية، ولا تزال تؤثر سلبا على الشركات الصغيرة والمتوسطة الحجم في مختلف أنحاء العالم.</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لتصنيف وكالة فيتش، وصلت قيمة الصكوك العالمية القائمة إلى أكثر من 867 مليار دولار أمريكي بنهاية الربع الأول من العام 2024م، بزيادة قدرها </w:t>
      </w:r>
      <w:r>
        <w:rPr>
          <w:rFonts w:ascii="Arial" w:hAnsi="Arial" w:cs="Arial" w:eastAsia="Arial"/>
          <w:color w:val="0E1E3A"/>
          <w:sz w:val="20"/>
          <w:szCs w:val="20"/>
        </w:rPr>
        <w:t>‎10.3%‎</w:t>
      </w:r>
      <w:r>
        <w:rPr>
          <w:rFonts w:ascii="Arial" w:hAnsi="Arial" w:cs="Arial" w:eastAsia="Arial"/>
          <w:color w:val="0E1E3A"/>
          <w:sz w:val="20"/>
          <w:szCs w:val="20"/>
          <w:rtl/>
        </w:rPr>
        <w:t xml:space="preserve"> على أساس سنوي. وبلغ إجمالي إصدارات الصكوك في الأسواق الأساسية 56.8 مليار دولار أمريكي في الربع الأول من العام 2024م، لتحافظ على مكانتها كأداة تمويل حيوية بحصة تبلغ </w:t>
      </w:r>
      <w:r>
        <w:rPr>
          <w:rFonts w:ascii="Arial" w:hAnsi="Arial" w:cs="Arial" w:eastAsia="Arial"/>
          <w:color w:val="0E1E3A"/>
          <w:sz w:val="20"/>
          <w:szCs w:val="20"/>
        </w:rPr>
        <w:t>‎33%‎</w:t>
      </w:r>
      <w:r>
        <w:rPr>
          <w:rFonts w:ascii="Arial" w:hAnsi="Arial" w:cs="Arial" w:eastAsia="Arial"/>
          <w:color w:val="0E1E3A"/>
          <w:sz w:val="20"/>
          <w:szCs w:val="20"/>
          <w:rtl/>
        </w:rPr>
        <w:t xml:space="preserve"> من إصدارات سوق رأس المال.</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وتتوقع وكالة فيتش استمرار نمو الصكوك العالمية لبقية العام 2024م، مدفوعا باحتياجات التمويل والتنويع ومتطلبات إعادة التمويل وانخفاض أسعار الفائدة. ومع ذلك، فإنها تتوقع أن يكون النمو أبطأ مقارنة بالربع الأول من العام 2024م.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في النصف الأول من العام 2024م، ارتفع أداء مؤشر داو جونز للصكوك الأمريكية (إعادة الاستثمار) بنسبة </w:t>
      </w:r>
      <w:r>
        <w:rPr>
          <w:rFonts w:ascii="Arial" w:hAnsi="Arial" w:cs="Arial" w:eastAsia="Arial"/>
          <w:color w:val="0E1E3A"/>
          <w:sz w:val="20"/>
          <w:szCs w:val="20"/>
        </w:rPr>
        <w:t>‎0.65%‎</w:t>
      </w:r>
      <w:r>
        <w:rPr>
          <w:rFonts w:ascii="Arial" w:hAnsi="Arial" w:cs="Arial" w:eastAsia="Arial"/>
          <w:color w:val="0E1E3A"/>
          <w:sz w:val="20"/>
          <w:szCs w:val="20"/>
          <w:rtl/>
        </w:rPr>
        <w:t xml:space="preserve">، في حين انخفض مؤشر ستاندرد آند بورز للسندات والصكوك الخليجية بنسبة </w:t>
      </w:r>
      <w:r>
        <w:rPr>
          <w:rFonts w:ascii="Arial" w:hAnsi="Arial" w:cs="Arial" w:eastAsia="Arial"/>
          <w:color w:val="0E1E3A"/>
          <w:sz w:val="20"/>
          <w:szCs w:val="20"/>
        </w:rPr>
        <w:t>‎0.29%‎</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16000"/>
            <wp:docPr id="26" name="Picture 9051"/>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16000"/>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2"/>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8"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الثاني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