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6"/>
            <wp:cNvGraphicFramePr/>
            <a:graphic>
              <a:graphicData uri="http://schemas.openxmlformats.org/drawingml/2006/picture">
                <pic:pic>
                  <pic:nvPicPr>
                    <pic:cNvPr id="9026" name="banner902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9.7123</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491,619,706</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27,958,418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5.69%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6.09%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average term of Fund investments are 3.0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491,619,706</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459,213,920</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0.55%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0.65%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0.69%</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3,195,897</w:t>
            </w:r>
          </w:p>
        </w:tc>
      </w:tr>
    </w:tbl>
    <w:p>
      <w:pPr>
        <w:spacing w:before="0" w:after="40" w:line="300" w:lineRule="auto"/>
      </w:pPr>
    </w:p>
    <w:p>
      <w:pPr>
        <w:spacing w:before="0" w:after="80" w:line="312" w:lineRule="auto"/>
      </w:pPr>
      <w:r>
        <w:rPr>
          <w:rFonts w:ascii="Arial" w:hAnsi="Arial" w:cs="Arial" w:eastAsia="Arial"/>
          <w:color w:val="5A6478"/>
          <w:sz w:val="17"/>
          <w:szCs w:val="17"/>
        </w:rPr>
        <w:t>* As of 30 June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460,889,953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INVESTMENTS OF THE FUND</w:t>
      </w:r>
    </w:p>
    <w:p>
      <w:pPr>
        <w:spacing w:before="0" w:after="80" w:line="240" w:lineRule="auto"/>
        <w:jc w:val="center"/>
      </w:pPr>
      <w:r>
        <w:drawing>
          <wp:inline xmlns:a="http://schemas.openxmlformats.org/drawingml/2006/main" xmlns:pic="http://schemas.openxmlformats.org/drawingml/2006/picture">
            <wp:extent cx="6336000" cy="2711351"/>
            <wp:docPr id="10" name="Picture 903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711351"/>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99,617,014</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182,484,409</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31,188,430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111,487,809</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66,842,043</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3" name="Picture 9038"/>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326,714,958</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2024)</w:t>
            </w:r>
          </w:p>
        </w:tc>
        <w:tc>
          <w:tcPr>
            <w:tcW w:type="dxa" w:w="6860"/>
          </w:tcPr>
          <w:p>
            <w:pPr>
              <w:spacing w:before="0" w:after="0" w:line="276" w:lineRule="auto"/>
            </w:pPr>
            <w:r>
              <w:rPr>
                <w:rFonts w:ascii="Arial" w:hAnsi="Arial" w:cs="Arial" w:eastAsia="Arial"/>
                <w:b/>
                <w:bCs/>
                <w:color w:val="0E1E3A"/>
                <w:sz w:val="18"/>
                <w:szCs w:val="18"/>
              </w:rPr>
              <w:t>SAR 6.91</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31 MARCH 2024 TO 30 JUNE 2024)*</w:t>
            </w:r>
          </w:p>
        </w:tc>
        <w:tc>
          <w:tcPr>
            <w:tcW w:type="dxa" w:w="6860"/>
          </w:tcPr>
          <w:p>
            <w:pPr>
              <w:spacing w:before="0" w:after="0" w:line="276" w:lineRule="auto"/>
            </w:pPr>
            <w:r>
              <w:rPr>
                <w:rFonts w:ascii="Arial" w:hAnsi="Arial" w:cs="Arial" w:eastAsia="Arial"/>
                <w:b/>
                <w:bCs/>
                <w:color w:val="0E1E3A"/>
                <w:sz w:val="18"/>
                <w:szCs w:val="18"/>
              </w:rPr>
              <w:t>1.92%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2024)</w:t>
            </w:r>
          </w:p>
        </w:tc>
        <w:tc>
          <w:tcPr>
            <w:tcW w:type="dxa" w:w="6860"/>
          </w:tcPr>
          <w:p>
            <w:pPr>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7.54</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6.52</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June 2024 = SAR 6.78.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13,711,626</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169,078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JUNE 2024)</w:t>
            </w:r>
          </w:p>
        </w:tc>
        <w:tc>
          <w:tcPr>
            <w:tcW w:type="dxa" w:w="6860"/>
          </w:tcPr>
          <w:p>
            <w:pPr>
              <w:spacing w:before="0" w:after="0" w:line="276" w:lineRule="auto"/>
            </w:pPr>
            <w:r>
              <w:rPr>
                <w:rFonts w:ascii="Arial" w:hAnsi="Arial" w:cs="Arial" w:eastAsia="Arial"/>
                <w:b/>
                <w:bCs/>
                <w:color w:val="0E1E3A"/>
                <w:sz w:val="18"/>
                <w:szCs w:val="18"/>
              </w:rPr>
              <w:t>0.05%</w:t>
            </w:r>
          </w:p>
        </w:tc>
      </w:tr>
    </w:tbl>
    <w:p>
      <w:pPr>
        <w:spacing w:before="0" w:after="40" w:line="300" w:lineRule="auto"/>
      </w:pPr>
    </w:p>
    <w:p>
      <w:pPr>
        <w:spacing w:before="0" w:after="80" w:line="312" w:lineRule="auto"/>
      </w:pPr>
      <w:r>
        <w:rPr>
          <w:rFonts w:ascii="Arial" w:hAnsi="Arial" w:cs="Arial" w:eastAsia="Arial"/>
          <w:color w:val="5A6478"/>
          <w:sz w:val="17"/>
          <w:szCs w:val="17"/>
        </w:rPr>
        <w:t>* From 1 April 2024 to 30 June 2024.</w:t>
      </w:r>
      <w:r>
        <w:br/>
      </w:r>
      <w:r>
        <w:rPr>
          <w:rFonts w:ascii="Arial" w:hAnsi="Arial" w:cs="Arial" w:eastAsia="Arial"/>
          <w:color w:val="5A6478"/>
          <w:sz w:val="17"/>
          <w:szCs w:val="17"/>
        </w:rPr>
        <w:t>** From 1 January 2024 to 30 June 2024 (Distributed Dividends paid on 25 February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1.92%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-14.84%</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Unit Price as at 31 March 2024 = SAR 6.78.</w:t>
      </w:r>
      <w:r>
        <w:br/>
      </w:r>
      <w:r>
        <w:rPr>
          <w:rFonts w:ascii="Arial" w:hAnsi="Arial" w:cs="Arial" w:eastAsia="Arial"/>
          <w:color w:val="5A6478"/>
          <w:sz w:val="17"/>
          <w:szCs w:val="17"/>
        </w:rPr>
        <w:t>*** From the Fund’s Date of Inception to end Q2 2024.</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9.7832</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9.7123</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-0.72%</w:t>
            </w:r>
          </w:p>
        </w:tc>
        <w:tc>
          <w:tcPr>
            <w:tcW w:type="dxa" w:w="3326"/>
          </w:tcPr>
          <w:p>
            <w:pPr>
              <w:spacing w:before="0" w:after="0" w:line="264" w:lineRule="auto"/>
            </w:pPr>
            <w:r>
              <w:rPr>
                <w:rFonts w:ascii="Arial" w:hAnsi="Arial" w:cs="Arial" w:eastAsia="Arial"/>
                <w:color w:val="0E1E3A"/>
                <w:sz w:val="17"/>
                <w:szCs w:val="17"/>
              </w:rPr>
              <w:t>2.01%***</w:t>
            </w:r>
          </w:p>
        </w:tc>
      </w:tr>
    </w:tbl>
    <w:p>
      <w:pPr>
        <w:spacing w:before="0" w:after="40" w:line="300" w:lineRule="auto"/>
      </w:pPr>
    </w:p>
    <w:p>
      <w:pPr>
        <w:spacing w:before="0" w:after="80" w:line="312" w:lineRule="auto"/>
      </w:pPr>
      <w:r>
        <w:rPr>
          <w:rFonts w:ascii="Arial" w:hAnsi="Arial" w:cs="Arial" w:eastAsia="Arial"/>
          <w:color w:val="5A6478"/>
          <w:sz w:val="17"/>
          <w:szCs w:val="17"/>
        </w:rPr>
        <w:t>* As at 31 March 2024.</w:t>
      </w:r>
      <w:r>
        <w:br/>
      </w:r>
      <w:r>
        <w:rPr>
          <w:rFonts w:ascii="Arial" w:hAnsi="Arial" w:cs="Arial" w:eastAsia="Arial"/>
          <w:color w:val="5A6478"/>
          <w:sz w:val="17"/>
          <w:szCs w:val="17"/>
        </w:rPr>
        <w:t>** As at 30 June 2024.</w:t>
      </w:r>
      <w:r>
        <w:br/>
      </w:r>
      <w:r>
        <w:rPr>
          <w:rFonts w:ascii="Arial" w:hAnsi="Arial" w:cs="Arial" w:eastAsia="Arial"/>
          <w:color w:val="5A6478"/>
          <w:sz w:val="17"/>
          <w:szCs w:val="17"/>
        </w:rPr>
        <w:t>*** Benchmark average return is 8.22% per annum, or a return of 2.01%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-0.72%</w:t>
            </w:r>
          </w:p>
        </w:tc>
        <w:tc>
          <w:tcPr>
            <w:tcW w:type="dxa" w:w="1663"/>
          </w:tcPr>
          <w:p>
            <w:pPr>
              <w:spacing w:before="0" w:after="0" w:line="264" w:lineRule="auto"/>
            </w:pPr>
            <w:r>
              <w:rPr>
                <w:rFonts w:ascii="Arial" w:hAnsi="Arial" w:cs="Arial" w:eastAsia="Arial"/>
                <w:color w:val="0E1E3A"/>
                <w:sz w:val="17"/>
                <w:szCs w:val="17"/>
              </w:rPr>
              <w:t>0.82%</w:t>
            </w:r>
          </w:p>
        </w:tc>
        <w:tc>
          <w:tcPr>
            <w:tcW w:type="dxa" w:w="1663"/>
          </w:tcPr>
          <w:p>
            <w:pPr>
              <w:spacing w:before="0" w:after="0" w:line="264" w:lineRule="auto"/>
            </w:pPr>
            <w:r>
              <w:rPr>
                <w:rFonts w:ascii="Arial" w:hAnsi="Arial" w:cs="Arial" w:eastAsia="Arial"/>
                <w:color w:val="0E1E3A"/>
                <w:sz w:val="17"/>
                <w:szCs w:val="17"/>
              </w:rPr>
              <w:t>3.40%</w:t>
            </w:r>
          </w:p>
        </w:tc>
        <w:tc>
          <w:tcPr>
            <w:tcW w:type="dxa" w:w="1663"/>
          </w:tcPr>
          <w:p>
            <w:pPr>
              <w:spacing w:before="0" w:after="0" w:line="264" w:lineRule="auto"/>
            </w:pPr>
            <w:r>
              <w:rPr>
                <w:rFonts w:ascii="Arial" w:hAnsi="Arial" w:cs="Arial" w:eastAsia="Arial"/>
                <w:color w:val="0E1E3A"/>
                <w:sz w:val="17"/>
                <w:szCs w:val="17"/>
              </w:rPr>
              <w:t>11.74%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2.01%</w:t>
            </w:r>
          </w:p>
        </w:tc>
        <w:tc>
          <w:tcPr>
            <w:tcW w:type="dxa" w:w="1663"/>
          </w:tcPr>
          <w:p>
            <w:pPr>
              <w:spacing w:before="0" w:after="0" w:line="264" w:lineRule="auto"/>
            </w:pPr>
            <w:r>
              <w:rPr>
                <w:rFonts w:ascii="Arial" w:hAnsi="Arial" w:cs="Arial" w:eastAsia="Arial"/>
                <w:color w:val="0E1E3A"/>
                <w:sz w:val="17"/>
                <w:szCs w:val="17"/>
              </w:rPr>
              <w:t>3.95%</w:t>
            </w:r>
          </w:p>
        </w:tc>
        <w:tc>
          <w:tcPr>
            <w:tcW w:type="dxa" w:w="1663"/>
          </w:tcPr>
          <w:p>
            <w:pPr>
              <w:spacing w:before="0" w:after="0" w:line="264" w:lineRule="auto"/>
            </w:pPr>
            <w:r>
              <w:rPr>
                <w:rFonts w:ascii="Arial" w:hAnsi="Arial" w:cs="Arial" w:eastAsia="Arial"/>
                <w:color w:val="0E1E3A"/>
                <w:sz w:val="17"/>
                <w:szCs w:val="17"/>
              </w:rPr>
              <w:t>8.22%</w:t>
            </w:r>
          </w:p>
        </w:tc>
        <w:tc>
          <w:tcPr>
            <w:tcW w:type="dxa" w:w="1663"/>
          </w:tcPr>
          <w:p>
            <w:pPr>
              <w:spacing w:before="0" w:after="0" w:line="264" w:lineRule="auto"/>
            </w:pPr>
            <w:r>
              <w:rPr>
                <w:rFonts w:ascii="Arial" w:hAnsi="Arial" w:cs="Arial" w:eastAsia="Arial"/>
                <w:color w:val="0E1E3A"/>
                <w:sz w:val="17"/>
                <w:szCs w:val="17"/>
              </w:rPr>
              <w:t>21.92%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-2.73%</w:t>
            </w:r>
          </w:p>
        </w:tc>
        <w:tc>
          <w:tcPr>
            <w:tcW w:type="dxa" w:w="1663"/>
          </w:tcPr>
          <w:p>
            <w:pPr>
              <w:spacing w:before="0" w:after="0" w:line="264" w:lineRule="auto"/>
            </w:pPr>
            <w:r>
              <w:rPr>
                <w:rFonts w:ascii="Arial" w:hAnsi="Arial" w:cs="Arial" w:eastAsia="Arial"/>
                <w:color w:val="0E1E3A"/>
                <w:sz w:val="17"/>
                <w:szCs w:val="17"/>
              </w:rPr>
              <w:t>-3.13%</w:t>
            </w:r>
          </w:p>
        </w:tc>
        <w:tc>
          <w:tcPr>
            <w:tcW w:type="dxa" w:w="1663"/>
          </w:tcPr>
          <w:p>
            <w:pPr>
              <w:spacing w:before="0" w:after="0" w:line="264" w:lineRule="auto"/>
            </w:pPr>
            <w:r>
              <w:rPr>
                <w:rFonts w:ascii="Arial" w:hAnsi="Arial" w:cs="Arial" w:eastAsia="Arial"/>
                <w:color w:val="0E1E3A"/>
                <w:sz w:val="17"/>
                <w:szCs w:val="17"/>
              </w:rPr>
              <w:t>-4.82%</w:t>
            </w:r>
          </w:p>
        </w:tc>
        <w:tc>
          <w:tcPr>
            <w:tcW w:type="dxa" w:w="1663"/>
          </w:tcPr>
          <w:p>
            <w:pPr>
              <w:spacing w:before="0" w:after="0" w:line="264" w:lineRule="auto"/>
            </w:pPr>
            <w:r>
              <w:rPr>
                <w:rFonts w:ascii="Arial" w:hAnsi="Arial" w:cs="Arial" w:eastAsia="Arial"/>
                <w:color w:val="0E1E3A"/>
                <w:sz w:val="17"/>
                <w:szCs w:val="17"/>
              </w:rPr>
              <w:t>-10.18%</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March 2024 to 30 June 2024.</w:t>
      </w:r>
      <w:r>
        <w:br/>
      </w:r>
      <w:r>
        <w:rPr>
          <w:rFonts w:ascii="Arial" w:hAnsi="Arial" w:cs="Arial" w:eastAsia="Arial"/>
          <w:color w:val="5A6478"/>
          <w:sz w:val="17"/>
          <w:szCs w:val="17"/>
        </w:rPr>
        <w:t>** For the period from 31 December 2023 to 30 June 2024, including cash distributions of 2.90%.</w:t>
      </w:r>
      <w:r>
        <w:br/>
      </w:r>
      <w:r>
        <w:rPr>
          <w:rFonts w:ascii="Arial" w:hAnsi="Arial" w:cs="Arial" w:eastAsia="Arial"/>
          <w:color w:val="5A6478"/>
          <w:sz w:val="17"/>
          <w:szCs w:val="17"/>
        </w:rPr>
        <w:t>*** For the period from 30 June 2023 to 30 June 2024, including cash distributions of 5.70%.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5.91</w:t>
            </w:r>
          </w:p>
        </w:tc>
        <w:tc>
          <w:tcPr>
            <w:tcW w:type="dxa" w:w="1663"/>
          </w:tcPr>
          <w:p>
            <w:pPr>
              <w:spacing w:before="0" w:after="0" w:line="264" w:lineRule="auto"/>
            </w:pPr>
            <w:r>
              <w:rPr>
                <w:rFonts w:ascii="Arial" w:hAnsi="Arial" w:cs="Arial" w:eastAsia="Arial"/>
                <w:color w:val="0E1E3A"/>
                <w:sz w:val="17"/>
                <w:szCs w:val="17"/>
              </w:rPr>
              <w:t>7.06</w:t>
            </w:r>
          </w:p>
        </w:tc>
        <w:tc>
          <w:tcPr>
            <w:tcW w:type="dxa" w:w="1663"/>
          </w:tcPr>
          <w:p>
            <w:pPr>
              <w:spacing w:before="0" w:after="0" w:line="264" w:lineRule="auto"/>
            </w:pPr>
            <w:r>
              <w:rPr>
                <w:rFonts w:ascii="Arial" w:hAnsi="Arial" w:cs="Arial" w:eastAsia="Arial"/>
                <w:color w:val="0E1E3A"/>
                <w:sz w:val="17"/>
                <w:szCs w:val="17"/>
              </w:rPr>
              <w:t>9.19</w:t>
            </w:r>
          </w:p>
        </w:tc>
        <w:tc>
          <w:tcPr>
            <w:tcW w:type="dxa" w:w="1663"/>
          </w:tcPr>
          <w:p>
            <w:pPr>
              <w:spacing w:before="0" w:after="0" w:line="264" w:lineRule="auto"/>
            </w:pPr>
            <w:r>
              <w:rPr>
                <w:rFonts w:ascii="Arial" w:hAnsi="Arial" w:cs="Arial" w:eastAsia="Arial"/>
                <w:color w:val="0E1E3A"/>
                <w:sz w:val="17"/>
                <w:szCs w:val="17"/>
              </w:rPr>
              <w:t>13.76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-0.45</w:t>
            </w:r>
          </w:p>
        </w:tc>
        <w:tc>
          <w:tcPr>
            <w:tcW w:type="dxa" w:w="1663"/>
          </w:tcPr>
          <w:p>
            <w:pPr>
              <w:spacing w:before="0" w:after="0" w:line="264" w:lineRule="auto"/>
            </w:pPr>
            <w:r>
              <w:rPr>
                <w:rFonts w:ascii="Arial" w:hAnsi="Arial" w:cs="Arial" w:eastAsia="Arial"/>
                <w:color w:val="0E1E3A"/>
                <w:sz w:val="17"/>
                <w:szCs w:val="17"/>
              </w:rPr>
              <w:t>0.17</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-0.52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6.00</w:t>
            </w:r>
          </w:p>
        </w:tc>
        <w:tc>
          <w:tcPr>
            <w:tcW w:type="dxa" w:w="1663"/>
          </w:tcPr>
          <w:p>
            <w:pPr>
              <w:spacing w:before="0" w:after="0" w:line="264" w:lineRule="auto"/>
            </w:pPr>
            <w:r>
              <w:rPr>
                <w:rFonts w:ascii="Arial" w:hAnsi="Arial" w:cs="Arial" w:eastAsia="Arial"/>
                <w:color w:val="0E1E3A"/>
                <w:sz w:val="17"/>
                <w:szCs w:val="17"/>
              </w:rPr>
              <w:t>7.10</w:t>
            </w:r>
          </w:p>
        </w:tc>
        <w:tc>
          <w:tcPr>
            <w:tcW w:type="dxa" w:w="1663"/>
          </w:tcPr>
          <w:p>
            <w:pPr>
              <w:spacing w:before="0" w:after="0" w:line="264" w:lineRule="auto"/>
            </w:pPr>
            <w:r>
              <w:rPr>
                <w:rFonts w:ascii="Arial" w:hAnsi="Arial" w:cs="Arial" w:eastAsia="Arial"/>
                <w:color w:val="0E1E3A"/>
                <w:sz w:val="17"/>
                <w:szCs w:val="17"/>
              </w:rPr>
              <w:t>9.36</w:t>
            </w:r>
          </w:p>
        </w:tc>
        <w:tc>
          <w:tcPr>
            <w:tcW w:type="dxa" w:w="1663"/>
          </w:tcPr>
          <w:p>
            <w:pPr>
              <w:spacing w:before="0" w:after="0" w:line="264" w:lineRule="auto"/>
            </w:pPr>
            <w:r>
              <w:rPr>
                <w:rFonts w:ascii="Arial" w:hAnsi="Arial" w:cs="Arial" w:eastAsia="Arial"/>
                <w:color w:val="0E1E3A"/>
                <w:sz w:val="17"/>
                <w:szCs w:val="17"/>
              </w:rPr>
              <w:t>13.81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-5.67</w:t>
            </w:r>
          </w:p>
        </w:tc>
        <w:tc>
          <w:tcPr>
            <w:tcW w:type="dxa" w:w="1663"/>
          </w:tcPr>
          <w:p>
            <w:pPr>
              <w:spacing w:before="0" w:after="0" w:line="264" w:lineRule="auto"/>
            </w:pPr>
            <w:r>
              <w:rPr>
                <w:rFonts w:ascii="Arial" w:hAnsi="Arial" w:cs="Arial" w:eastAsia="Arial"/>
                <w:color w:val="0E1E3A"/>
                <w:sz w:val="17"/>
                <w:szCs w:val="17"/>
              </w:rPr>
              <w:t>-6.45</w:t>
            </w:r>
          </w:p>
        </w:tc>
        <w:tc>
          <w:tcPr>
            <w:tcW w:type="dxa" w:w="1663"/>
          </w:tcPr>
          <w:p>
            <w:pPr>
              <w:spacing w:before="0" w:after="0" w:line="264" w:lineRule="auto"/>
            </w:pPr>
            <w:r>
              <w:rPr>
                <w:rFonts w:ascii="Arial" w:hAnsi="Arial" w:cs="Arial" w:eastAsia="Arial"/>
                <w:color w:val="0E1E3A"/>
                <w:sz w:val="17"/>
                <w:szCs w:val="17"/>
              </w:rPr>
              <w:t>-1.98</w:t>
            </w:r>
          </w:p>
        </w:tc>
        <w:tc>
          <w:tcPr>
            <w:tcW w:type="dxa" w:w="1663"/>
          </w:tcPr>
          <w:p>
            <w:pPr>
              <w:spacing w:before="0" w:after="0" w:line="264" w:lineRule="auto"/>
            </w:pPr>
            <w:r>
              <w:rPr>
                <w:rFonts w:ascii="Arial" w:hAnsi="Arial" w:cs="Arial" w:eastAsia="Arial"/>
                <w:color w:val="0E1E3A"/>
                <w:sz w:val="17"/>
                <w:szCs w:val="17"/>
              </w:rPr>
              <w:t>-1.67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-5.94</w:t>
            </w:r>
          </w:p>
        </w:tc>
        <w:tc>
          <w:tcPr>
            <w:tcW w:type="dxa" w:w="1663"/>
          </w:tcPr>
          <w:p>
            <w:pPr>
              <w:spacing w:before="0" w:after="0" w:line="264" w:lineRule="auto"/>
            </w:pPr>
            <w:r>
              <w:rPr>
                <w:rFonts w:ascii="Arial" w:hAnsi="Arial" w:cs="Arial" w:eastAsia="Arial"/>
                <w:color w:val="0E1E3A"/>
                <w:sz w:val="17"/>
                <w:szCs w:val="17"/>
              </w:rPr>
              <w:t>-1.70</w:t>
            </w:r>
          </w:p>
        </w:tc>
        <w:tc>
          <w:tcPr>
            <w:tcW w:type="dxa" w:w="1663"/>
          </w:tcPr>
          <w:p>
            <w:pPr>
              <w:spacing w:before="0" w:after="0" w:line="264" w:lineRule="auto"/>
            </w:pPr>
            <w:r>
              <w:rPr>
                <w:rFonts w:ascii="Arial" w:hAnsi="Arial" w:cs="Arial" w:eastAsia="Arial"/>
                <w:color w:val="0E1E3A"/>
                <w:sz w:val="17"/>
                <w:szCs w:val="17"/>
              </w:rPr>
              <w:t>-3.31</w:t>
            </w:r>
          </w:p>
        </w:tc>
        <w:tc>
          <w:tcPr>
            <w:tcW w:type="dxa" w:w="1663"/>
          </w:tcPr>
          <w:p>
            <w:pPr>
              <w:spacing w:before="0" w:after="0" w:line="264" w:lineRule="auto"/>
            </w:pPr>
            <w:r>
              <w:rPr>
                <w:rFonts w:ascii="Arial" w:hAnsi="Arial" w:cs="Arial" w:eastAsia="Arial"/>
                <w:color w:val="0E1E3A"/>
                <w:sz w:val="17"/>
                <w:szCs w:val="17"/>
              </w:rPr>
              <w:t>-8.69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-0.99</w:t>
            </w:r>
          </w:p>
        </w:tc>
        <w:tc>
          <w:tcPr>
            <w:tcW w:type="dxa" w:w="1663"/>
          </w:tcPr>
          <w:p>
            <w:pPr>
              <w:spacing w:before="0" w:after="0" w:line="264" w:lineRule="auto"/>
            </w:pPr>
            <w:r>
              <w:rPr>
                <w:rFonts w:ascii="Arial" w:hAnsi="Arial" w:cs="Arial" w:eastAsia="Arial"/>
                <w:color w:val="0E1E3A"/>
                <w:sz w:val="17"/>
                <w:szCs w:val="17"/>
              </w:rPr>
              <w:t>-0.24</w:t>
            </w:r>
          </w:p>
        </w:tc>
        <w:tc>
          <w:tcPr>
            <w:tcW w:type="dxa" w:w="1663"/>
          </w:tcPr>
          <w:p>
            <w:pPr>
              <w:spacing w:before="0" w:after="0" w:line="264" w:lineRule="auto"/>
            </w:pPr>
            <w:r>
              <w:rPr>
                <w:rFonts w:ascii="Arial" w:hAnsi="Arial" w:cs="Arial" w:eastAsia="Arial"/>
                <w:color w:val="0E1E3A"/>
                <w:sz w:val="17"/>
                <w:szCs w:val="17"/>
              </w:rPr>
              <w:t>-0.35</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31 March 2024 to 30 June 2024.</w:t>
      </w:r>
      <w:r>
        <w:br/>
      </w:r>
      <w:r>
        <w:rPr>
          <w:rFonts w:ascii="Arial" w:hAnsi="Arial" w:cs="Arial" w:eastAsia="Arial"/>
          <w:color w:val="5A6478"/>
          <w:sz w:val="17"/>
          <w:szCs w:val="17"/>
        </w:rPr>
        <w:t>2. For the period from 31 December 2023 to 30 June 2024.</w:t>
      </w:r>
      <w:r>
        <w:br/>
      </w:r>
      <w:r>
        <w:rPr>
          <w:rFonts w:ascii="Arial" w:hAnsi="Arial" w:cs="Arial" w:eastAsia="Arial"/>
          <w:color w:val="5A6478"/>
          <w:sz w:val="17"/>
          <w:szCs w:val="17"/>
        </w:rPr>
        <w:t>3. For the period from 30 June 2023 to 30 June 2024.</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w:t>
      </w:r>
      <w:r>
        <w:br/>
      </w:r>
      <w:r>
        <w:rPr>
          <w:rFonts w:ascii="Arial" w:hAnsi="Arial" w:cs="Arial" w:eastAsia="Arial"/>
          <w:color w:val="5A6478"/>
          <w:sz w:val="17"/>
          <w:szCs w:val="17"/>
        </w:rPr>
        <w:t>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4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Banks and other lenders maintained a positive outlook of the asset-based lending market in the first quarter of 2024, driven by forecasts of slow decline of the US economy. Notwithstanding, lenders remain wary of the forthcoming regulatory changes and continue to monitor investment portfolios for post-pandemic pressures.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May 2024 was USD 10.2 billion, or an annualized increase of 11%. Cumulative new business volume was up by 6.0% year-to-date, compared to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On a separate note, the Equipment Leasing and Finance Foundation’s (ELFF) Monthly Confidence Index (MCI-EFI) which reports a qualitative assessment of both the prevailing business conditions and expectations for the future of the equipment finance sector, declined slightly to 50.2 in June from 50.7 in May.</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IMF World Economic Outlook for June 2024, world trade is expected to grow by 2.5% in 2024, recovering from an almost flat growth in 2023, however remaining lower than the pre-pandemic averages. Trade in commodities is expected to increase driven by increased global demand, particularly in the US, the Eurozone and China. Trade in services is expected to stabilize near the pre-pandemic averages.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World trade expanded in May 2024, for the second time since March 2022. According to S&amp;P’s Global Purchasing Managers Index (PMI), the Global PMI Index for new export orders remained at 50.6 in May (stable compared to April), recording the second month of increased exports and improved trade conditions for manufacturing and services.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 The gap currently represents 10% of global trade in goods. It continues to adversely affect small and medium enterprises worldwide.</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Fitch, outstanding global sukuk value rose to over US$ 867 billion as at the end of the first quarter of 2024, an annualized increase of 10.3%. Total sukuk issuances in primary markets reached US$ 56.8 billion in the first quarter of 2024, maintaining the status of sukuk as a vital financing instrument with a 33% share of the capital market issuances.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Fitch expects global sukuk issuances will continue to grow during the remaining part of 2024, driven by financing needs, diversification, refinancing requirements and lower interest rates. However, Fitch forecasts growth to be slower compared to the first quarter of 2024.</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the first half of 2024, the US Dow Jones Sukuk Index (ex-reinvestment) gained 0.65% while S&amp;P GCC Bond and Sukuk Index declined by 0.29%.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6" name="Picture 9051"/>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