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0" w:after="0" w:line="20" w:lineRule="exact"/>
        <w:rPr>
          <w:sz w:val="2"/>
          <w:szCs w:val="2"/>
        </w:rPr>
      </w:pPr>
      <w:r>
        <w:rPr>
          <w:sz w:val="2"/>
        </w:rPr>
        <w:drawing>
          <wp:anchor xmlns:a="http://schemas.openxmlformats.org/drawingml/2006/main" xmlns:pic="http://schemas.openxmlformats.org/drawingml/2006/picture" distT="0" distB="216000" distL="0" distR="0" simplePos="0" relativeHeight="2" behindDoc="0" locked="1" layoutInCell="1" allowOverlap="0">
            <wp:simplePos x="0" y="0"/>
            <wp:positionH relativeFrom="page">
              <wp:posOffset>0</wp:posOffset>
            </wp:positionH>
            <wp:positionV relativeFrom="page">
              <wp:posOffset>0</wp:posOffset>
            </wp:positionV>
            <wp:extent cx="7560000" cy="3132544"/>
            <wp:effectExtent l="0" t="0" r="0" b="0"/>
            <wp:wrapTopAndBottom/>
            <wp:docPr id="1" name="Banner 9028"/>
            <wp:cNvGraphicFramePr/>
            <a:graphic>
              <a:graphicData uri="http://schemas.openxmlformats.org/drawingml/2006/picture">
                <pic:pic>
                  <pic:nvPicPr>
                    <pic:cNvPr id="9028" name="banner9028.jpg"/>
                    <pic:cNvPicPr/>
                  </pic:nvPicPr>
                  <pic:blipFill>
                    <a:blip r:embed="rId13"/>
                    <a:stretch>
                      <a:fillRect/>
                    </a:stretch>
                  </pic:blipFill>
                  <pic:spPr>
                    <a:xfrm>
                      <a:off x="0" y="0"/>
                      <a:ext cx="7560000" cy="3132544"/>
                    </a:xfrm>
                    <a:prstGeom prst="rect">
                      <a:avLst/>
                    </a:prstGeom>
                  </pic:spPr>
                </pic:pic>
              </a:graphicData>
            </a:graphic>
          </wp:anchor>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 name="Picture 9029"/>
            <wp:cNvGraphicFramePr>
              <a:graphicFrameLocks noChangeAspect="1"/>
            </wp:cNvGraphicFramePr>
            <a:graphic>
              <a:graphicData uri="http://schemas.openxmlformats.org/drawingml/2006/picture">
                <pic:pic>
                  <pic:nvPicPr>
                    <pic:cNvPr id="0" name="ico_f2e52b5aa522e94c0637246ef4ce1c1b.png"/>
                    <pic:cNvPicPr/>
                  </pic:nvPicPr>
                  <pic:blipFill>
                    <a:blip r:embed="rId1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نبذة عامة عن الصندوق</w:t>
      </w:r>
    </w:p>
    <w:p>
      <w:pPr>
        <w:bidi w:val="1"/>
        <w:spacing w:before="0" w:after="80" w:line="312" w:lineRule="auto"/>
      </w:pPr>
      <w:r>
        <w:rPr>
          <w:rFonts w:ascii="Arial" w:hAnsi="Arial" w:cs="Arial" w:eastAsia="Arial"/>
          <w:color w:val="0E1E3A"/>
          <w:sz w:val="20"/>
          <w:szCs w:val="20"/>
          <w:rtl/>
        </w:rPr>
        <w:t>صندوق "الخبير للدخل المتنوع المتداول"(الصندوق) هو صندوق استثمار متداول، مغلق، متوافق مع ضوابط الهيئة الشرعية، وتم إنشاؤه بموجب الأنظمة واللوائح المعمول بها في المملكة العربية السعودية، ويخضع لرقابة وإشراف هيئة السوق المالية. ويتمثل الهدف الاستثماري للصندوق في تحقيق دخل دوري للمستثمرين من خلال الاستثمار في أصول مدرة للدخل، متوافقة مع ضوابط الهيئة الشرعية؛ لتحقيق دخل دوري للصندوق. وينوي مدير الصندوق "الخبير المالية" الاستثمار في الصكوك، وصفقات التمويل التجاري، وصفقات الإجارة، وصناديق الدخل، وصفقات المرابحة، إما بشكل مباشر، أو من خلال صناديق استثمار.</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3" name="Picture 9030"/>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البيانات الأساسية للصندوق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رمز التداول</w:t>
            </w:r>
          </w:p>
        </w:tc>
        <w:tc>
          <w:tcPr>
            <w:tcW w:type="dxa" w:w="6860"/>
          </w:tcPr>
          <w:p>
            <w:pPr>
              <w:bidi w:val="1"/>
              <w:spacing w:before="0" w:after="0" w:line="276" w:lineRule="auto"/>
            </w:pPr>
            <w:r>
              <w:rPr>
                <w:rFonts w:ascii="Arial" w:hAnsi="Arial" w:cs="Arial" w:eastAsia="Arial"/>
                <w:b/>
                <w:bCs/>
                <w:color w:val="0E1E3A"/>
                <w:sz w:val="18"/>
                <w:szCs w:val="18"/>
                <w:rtl/>
              </w:rPr>
              <w:t>4700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رمز بلومبرغ</w:t>
            </w:r>
          </w:p>
        </w:tc>
        <w:tc>
          <w:tcPr>
            <w:tcW w:type="dxa" w:w="6860"/>
          </w:tcPr>
          <w:p>
            <w:pPr>
              <w:bidi w:val="1"/>
              <w:spacing w:before="0" w:after="0" w:line="276" w:lineRule="auto"/>
            </w:pPr>
            <w:r>
              <w:rPr>
                <w:rFonts w:ascii="Arial" w:hAnsi="Arial" w:cs="Arial" w:eastAsia="Arial"/>
                <w:b/>
                <w:bCs/>
                <w:color w:val="0E1E3A"/>
                <w:sz w:val="18"/>
                <w:szCs w:val="18"/>
                <w:rtl/>
              </w:rPr>
              <w:t>AKDICIF: AB</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نوع الصندوق</w:t>
            </w:r>
          </w:p>
        </w:tc>
        <w:tc>
          <w:tcPr>
            <w:tcW w:type="dxa" w:w="6860"/>
          </w:tcPr>
          <w:p>
            <w:pPr>
              <w:bidi w:val="1"/>
              <w:spacing w:before="0" w:after="0" w:line="276" w:lineRule="auto"/>
            </w:pPr>
            <w:r>
              <w:rPr>
                <w:rFonts w:ascii="Arial" w:hAnsi="Arial" w:cs="Arial" w:eastAsia="Arial"/>
                <w:b/>
                <w:bCs/>
                <w:color w:val="0E1E3A"/>
                <w:sz w:val="18"/>
                <w:szCs w:val="18"/>
                <w:rtl/>
              </w:rPr>
              <w:t>صندوق استثمار عام متداول مغلق</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تاريخ الإدراج</w:t>
            </w:r>
          </w:p>
        </w:tc>
        <w:tc>
          <w:tcPr>
            <w:tcW w:type="dxa" w:w="6860"/>
          </w:tcPr>
          <w:p>
            <w:pPr>
              <w:bidi w:val="1"/>
              <w:spacing w:before="0" w:after="0" w:line="276" w:lineRule="auto"/>
            </w:pPr>
            <w:r>
              <w:rPr>
                <w:rFonts w:ascii="Arial" w:hAnsi="Arial" w:cs="Arial" w:eastAsia="Arial"/>
                <w:b/>
                <w:bCs/>
                <w:color w:val="0E1E3A"/>
                <w:sz w:val="18"/>
                <w:szCs w:val="18"/>
                <w:rtl/>
              </w:rPr>
              <w:t>19 يناير 2021م</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مدة الصندوق</w:t>
            </w:r>
          </w:p>
        </w:tc>
        <w:tc>
          <w:tcPr>
            <w:tcW w:type="dxa" w:w="6860"/>
          </w:tcPr>
          <w:p>
            <w:pPr>
              <w:bidi w:val="1"/>
              <w:spacing w:before="0" w:after="0" w:line="276" w:lineRule="auto"/>
            </w:pPr>
            <w:r>
              <w:rPr>
                <w:rFonts w:ascii="Arial" w:hAnsi="Arial" w:cs="Arial" w:eastAsia="Arial"/>
                <w:b/>
                <w:bCs/>
                <w:color w:val="0E1E3A"/>
                <w:sz w:val="18"/>
                <w:szCs w:val="18"/>
                <w:rtl/>
              </w:rPr>
              <w:t>99 سنة تبدأ من تاريخ الإدراج، قابلة للتمديد</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صافي قيمة الوحدة</w:t>
            </w:r>
          </w:p>
        </w:tc>
        <w:tc>
          <w:tcPr>
            <w:tcW w:type="dxa" w:w="6860"/>
          </w:tcPr>
          <w:p>
            <w:pPr>
              <w:bidi w:val="1"/>
              <w:spacing w:before="0" w:after="0" w:line="276" w:lineRule="auto"/>
            </w:pPr>
            <w:r>
              <w:rPr>
                <w:rFonts w:ascii="Arial" w:hAnsi="Arial" w:cs="Arial" w:eastAsia="Arial"/>
                <w:b/>
                <w:bCs/>
                <w:color w:val="0E1E3A"/>
                <w:sz w:val="18"/>
                <w:szCs w:val="18"/>
                <w:rtl/>
              </w:rPr>
              <w:t>9.0784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حجم أصول الصندوق *</w:t>
            </w:r>
          </w:p>
        </w:tc>
        <w:tc>
          <w:tcPr>
            <w:tcW w:type="dxa" w:w="6860"/>
          </w:tcPr>
          <w:p>
            <w:pPr>
              <w:bidi w:val="1"/>
              <w:spacing w:before="0" w:after="0" w:line="276" w:lineRule="auto"/>
            </w:pPr>
            <w:r>
              <w:rPr>
                <w:rFonts w:ascii="Arial" w:hAnsi="Arial" w:cs="Arial" w:eastAsia="Arial"/>
                <w:b/>
                <w:bCs/>
                <w:color w:val="0E1E3A"/>
                <w:sz w:val="18"/>
                <w:szCs w:val="18"/>
                <w:rtl/>
              </w:rPr>
              <w:t>452,749,733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رأس مال الصندوق كما في تاريخ الإدراج</w:t>
            </w:r>
          </w:p>
        </w:tc>
        <w:tc>
          <w:tcPr>
            <w:tcW w:type="dxa" w:w="6860"/>
          </w:tcPr>
          <w:p>
            <w:pPr>
              <w:bidi w:val="1"/>
              <w:spacing w:before="0" w:after="0" w:line="276" w:lineRule="auto"/>
            </w:pPr>
            <w:r>
              <w:rPr>
                <w:rFonts w:ascii="Arial" w:hAnsi="Arial" w:cs="Arial" w:eastAsia="Arial"/>
                <w:b/>
                <w:bCs/>
                <w:color w:val="0E1E3A"/>
                <w:sz w:val="18"/>
                <w:szCs w:val="18"/>
                <w:rtl/>
              </w:rPr>
              <w:t>472,814,700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مبلغ التمويل *</w:t>
            </w:r>
          </w:p>
        </w:tc>
        <w:tc>
          <w:tcPr>
            <w:tcW w:type="dxa" w:w="6860"/>
          </w:tcPr>
          <w:p>
            <w:pPr>
              <w:bidi w:val="1"/>
              <w:spacing w:before="0" w:after="0" w:line="276" w:lineRule="auto"/>
            </w:pPr>
            <w:r>
              <w:rPr>
                <w:rFonts w:ascii="Arial" w:hAnsi="Arial" w:cs="Arial" w:eastAsia="Arial"/>
                <w:b/>
                <w:bCs/>
                <w:color w:val="0E1E3A"/>
                <w:sz w:val="18"/>
                <w:szCs w:val="18"/>
                <w:rtl/>
              </w:rPr>
              <w:t>19,728,905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الاقتراض من القيمة الإجمالية لأصول الصندوق *</w:t>
            </w:r>
          </w:p>
        </w:tc>
        <w:tc>
          <w:tcPr>
            <w:tcW w:type="dxa" w:w="6860"/>
          </w:tcPr>
          <w:p>
            <w:pPr>
              <w:bidi w:val="1"/>
              <w:spacing w:before="0" w:after="0" w:line="276" w:lineRule="auto"/>
            </w:pPr>
            <w:r>
              <w:rPr>
                <w:rFonts w:ascii="Arial" w:hAnsi="Arial" w:cs="Arial" w:eastAsia="Arial"/>
                <w:b/>
                <w:bCs/>
                <w:color w:val="0E1E3A"/>
                <w:sz w:val="18"/>
                <w:szCs w:val="18"/>
              </w:rPr>
              <w:t>‎4.36%‎</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الاقتراض من قيمة صافي أصول الصندوق في نهاية الربع المعني</w:t>
            </w:r>
          </w:p>
        </w:tc>
        <w:tc>
          <w:tcPr>
            <w:tcW w:type="dxa" w:w="6860"/>
          </w:tcPr>
          <w:p>
            <w:pPr>
              <w:bidi w:val="1"/>
              <w:spacing w:before="0" w:after="0" w:line="276" w:lineRule="auto"/>
            </w:pPr>
            <w:r>
              <w:rPr>
                <w:rFonts w:ascii="Arial" w:hAnsi="Arial" w:cs="Arial" w:eastAsia="Arial"/>
                <w:b/>
                <w:bCs/>
                <w:color w:val="0E1E3A"/>
                <w:sz w:val="18"/>
                <w:szCs w:val="18"/>
              </w:rPr>
              <w:t>‎4.60%‎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قيمة استثمار مدير الصندوق من صافي قيمة أصول الصندوق في نهاية الربع المعني</w:t>
            </w:r>
          </w:p>
        </w:tc>
        <w:tc>
          <w:tcPr>
            <w:tcW w:type="dxa" w:w="6860"/>
          </w:tcPr>
          <w:p>
            <w:pPr>
              <w:bidi w:val="1"/>
              <w:spacing w:before="0" w:after="0" w:line="276" w:lineRule="auto"/>
            </w:pPr>
            <w:r>
              <w:rPr>
                <w:rFonts w:ascii="Arial" w:hAnsi="Arial" w:cs="Arial" w:eastAsia="Arial"/>
                <w:b/>
                <w:bCs/>
                <w:color w:val="0E1E3A"/>
                <w:sz w:val="18"/>
                <w:szCs w:val="18"/>
                <w:rtl/>
              </w:rPr>
              <w:t>0.00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استثمار مدير الصندوق من صافي قيمة أصول الصندوق في نهاية الربع المعني</w:t>
            </w:r>
          </w:p>
        </w:tc>
        <w:tc>
          <w:tcPr>
            <w:tcW w:type="dxa" w:w="6860"/>
          </w:tcPr>
          <w:p>
            <w:pPr>
              <w:bidi w:val="1"/>
              <w:spacing w:before="0" w:after="0" w:line="276" w:lineRule="auto"/>
            </w:pPr>
            <w:r>
              <w:rPr>
                <w:rFonts w:ascii="Arial" w:hAnsi="Arial" w:cs="Arial" w:eastAsia="Arial"/>
                <w:b/>
                <w:bCs/>
                <w:color w:val="0E1E3A"/>
                <w:sz w:val="18"/>
                <w:szCs w:val="18"/>
              </w:rPr>
              <w:t>‎0%‎</w:t>
            </w:r>
            <w:r>
              <w:rPr>
                <w:rFonts w:ascii="Arial" w:hAnsi="Arial" w:cs="Arial" w:eastAsia="Arial"/>
                <w:b/>
                <w:bCs/>
                <w:color w:val="0E1E3A"/>
                <w:sz w:val="18"/>
                <w:szCs w:val="18"/>
                <w:rtl/>
              </w:rPr>
              <w:t>. 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مستوى المخاطر</w:t>
            </w:r>
          </w:p>
        </w:tc>
        <w:tc>
          <w:tcPr>
            <w:tcW w:type="dxa" w:w="6860"/>
          </w:tcPr>
          <w:p>
            <w:pPr>
              <w:bidi w:val="1"/>
              <w:spacing w:before="0" w:after="0" w:line="276" w:lineRule="auto"/>
            </w:pPr>
            <w:r>
              <w:rPr>
                <w:rFonts w:ascii="Arial" w:hAnsi="Arial" w:cs="Arial" w:eastAsia="Arial"/>
                <w:b/>
                <w:bCs/>
                <w:color w:val="0E1E3A"/>
                <w:sz w:val="18"/>
                <w:szCs w:val="18"/>
                <w:rtl/>
              </w:rPr>
              <w:t>مرتفع</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عملة الصندوق</w:t>
            </w:r>
          </w:p>
        </w:tc>
        <w:tc>
          <w:tcPr>
            <w:tcW w:type="dxa" w:w="6860"/>
          </w:tcPr>
          <w:p>
            <w:pPr>
              <w:bidi w:val="1"/>
              <w:spacing w:before="0" w:after="0" w:line="276" w:lineRule="auto"/>
            </w:pPr>
            <w:r>
              <w:rPr>
                <w:rFonts w:ascii="Arial" w:hAnsi="Arial" w:cs="Arial" w:eastAsia="Arial"/>
                <w:b/>
                <w:bCs/>
                <w:color w:val="0E1E3A"/>
                <w:sz w:val="18"/>
                <w:szCs w:val="18"/>
                <w:rtl/>
              </w:rPr>
              <w:t>ريال سعودي</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مستشار الاستثمار ومدير الصندوق من الباطن</w:t>
            </w:r>
          </w:p>
        </w:tc>
        <w:tc>
          <w:tcPr>
            <w:tcW w:type="dxa" w:w="6860"/>
          </w:tcPr>
          <w:p>
            <w:pPr>
              <w:bidi w:val="1"/>
              <w:spacing w:before="0" w:after="0" w:line="276" w:lineRule="auto"/>
            </w:pPr>
            <w:r>
              <w:rPr>
                <w:rFonts w:ascii="Arial" w:hAnsi="Arial" w:cs="Arial" w:eastAsia="Arial"/>
                <w:b/>
                <w:bCs/>
                <w:color w:val="0E1E3A"/>
                <w:sz w:val="18"/>
                <w:szCs w:val="18"/>
                <w:rtl/>
              </w:rPr>
              <w:t>لا يوجد</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رسوم الإدارة للصناديق المستثمر فيها</w:t>
            </w:r>
          </w:p>
        </w:tc>
        <w:tc>
          <w:tcPr>
            <w:tcW w:type="dxa" w:w="6860"/>
          </w:tcPr>
          <w:p>
            <w:pPr>
              <w:bidi w:val="1"/>
              <w:spacing w:before="0" w:after="0" w:line="276" w:lineRule="auto"/>
            </w:pPr>
            <w:r>
              <w:rPr>
                <w:rFonts w:ascii="Arial" w:hAnsi="Arial" w:cs="Arial" w:eastAsia="Arial"/>
                <w:b/>
                <w:bCs/>
                <w:color w:val="0E1E3A"/>
                <w:sz w:val="18"/>
                <w:szCs w:val="18"/>
              </w:rPr>
              <w:t>‎0.26%‎</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عدد أيام المتوسط المرجح</w:t>
            </w:r>
          </w:p>
        </w:tc>
        <w:tc>
          <w:tcPr>
            <w:tcW w:type="dxa" w:w="6860"/>
          </w:tcPr>
          <w:p>
            <w:pPr>
              <w:bidi w:val="1"/>
              <w:spacing w:before="0" w:after="0" w:line="276" w:lineRule="auto"/>
            </w:pPr>
            <w:r>
              <w:rPr>
                <w:rFonts w:ascii="Arial" w:hAnsi="Arial" w:cs="Arial" w:eastAsia="Arial"/>
                <w:b/>
                <w:bCs/>
                <w:color w:val="0E1E3A"/>
                <w:sz w:val="18"/>
                <w:szCs w:val="18"/>
                <w:rtl/>
              </w:rPr>
              <w:t>91 يوما</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كما في تاريخ 30 يونيو 2025م (غير مدققة).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4" name="Picture 9031"/>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نسب تركز الاستثمارات في محفظة الصندوق*</w:t>
      </w:r>
    </w:p>
    <w:p>
      <w:pPr>
        <w:bidi w:val="1"/>
        <w:spacing w:before="0" w:after="80" w:line="240" w:lineRule="auto"/>
        <w:jc w:val="center"/>
      </w:pPr>
      <w:r>
        <w:drawing>
          <wp:inline xmlns:a="http://schemas.openxmlformats.org/drawingml/2006/main" xmlns:pic="http://schemas.openxmlformats.org/drawingml/2006/picture">
            <wp:extent cx="6336000" cy="1883676"/>
            <wp:docPr id="5" name="Picture 9032"/>
            <wp:cNvGraphicFramePr>
              <a:graphicFrameLocks noChangeAspect="1"/>
            </wp:cNvGraphicFramePr>
            <a:graphic>
              <a:graphicData uri="http://schemas.openxmlformats.org/drawingml/2006/picture">
                <pic:pic>
                  <pic:nvPicPr>
                    <pic:cNvPr id="0" name="x2.j.jpg"/>
                    <pic:cNvPicPr/>
                  </pic:nvPicPr>
                  <pic:blipFill>
                    <a:blip r:embed="rId16"/>
                    <a:stretch>
                      <a:fillRect/>
                    </a:stretch>
                  </pic:blipFill>
                  <pic:spPr>
                    <a:xfrm>
                      <a:off x="0" y="0"/>
                      <a:ext cx="6336000" cy="1883676"/>
                    </a:xfrm>
                    <a:prstGeom prst="rect"/>
                  </pic:spPr>
                </pic:pic>
              </a:graphicData>
            </a:graphic>
          </wp:inline>
        </w:drawing>
      </w:r>
    </w:p>
    <w:p>
      <w:pPr>
        <w:bidi w:val="1"/>
        <w:spacing w:before="0" w:after="80" w:line="312" w:lineRule="auto"/>
      </w:pPr>
      <w:r>
        <w:rPr>
          <w:rFonts w:ascii="Arial" w:hAnsi="Arial" w:cs="Arial" w:eastAsia="Arial"/>
          <w:color w:val="5A6478"/>
          <w:sz w:val="17"/>
          <w:szCs w:val="17"/>
          <w:rtl/>
        </w:rPr>
        <w:t>* متوسط مدة استثمارات الصندوق 2.5 سنوات.</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6" name="Picture 9033"/>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المؤشرات المالية*</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فترات التقييم</w:t>
            </w:r>
          </w:p>
        </w:tc>
        <w:tc>
          <w:tcPr>
            <w:tcW w:type="dxa" w:w="6860"/>
          </w:tcPr>
          <w:p>
            <w:pPr>
              <w:bidi w:val="1"/>
              <w:spacing w:before="0" w:after="0" w:line="276" w:lineRule="auto"/>
            </w:pPr>
            <w:r>
              <w:rPr>
                <w:rFonts w:ascii="Arial" w:hAnsi="Arial" w:cs="Arial" w:eastAsia="Arial"/>
                <w:b/>
                <w:bCs/>
                <w:color w:val="0E1E3A"/>
                <w:sz w:val="18"/>
                <w:szCs w:val="18"/>
                <w:rtl/>
              </w:rPr>
              <w:t>ربع سنوي</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القيمة الإجمالية لأصول الصندوق *</w:t>
            </w:r>
          </w:p>
        </w:tc>
        <w:tc>
          <w:tcPr>
            <w:tcW w:type="dxa" w:w="6860"/>
          </w:tcPr>
          <w:p>
            <w:pPr>
              <w:bidi w:val="1"/>
              <w:spacing w:before="0" w:after="0" w:line="276" w:lineRule="auto"/>
            </w:pPr>
            <w:r>
              <w:rPr>
                <w:rFonts w:ascii="Arial" w:hAnsi="Arial" w:cs="Arial" w:eastAsia="Arial"/>
                <w:b/>
                <w:bCs/>
                <w:color w:val="0E1E3A"/>
                <w:sz w:val="18"/>
                <w:szCs w:val="18"/>
                <w:rtl/>
              </w:rPr>
              <w:t>452,749,733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صافي قيمة أصول وحدات الصندوق *</w:t>
            </w:r>
          </w:p>
        </w:tc>
        <w:tc>
          <w:tcPr>
            <w:tcW w:type="dxa" w:w="6860"/>
          </w:tcPr>
          <w:p>
            <w:pPr>
              <w:bidi w:val="1"/>
              <w:spacing w:before="0" w:after="0" w:line="276" w:lineRule="auto"/>
            </w:pPr>
            <w:r>
              <w:rPr>
                <w:rFonts w:ascii="Arial" w:hAnsi="Arial" w:cs="Arial" w:eastAsia="Arial"/>
                <w:b/>
                <w:bCs/>
                <w:color w:val="0E1E3A"/>
                <w:sz w:val="18"/>
                <w:szCs w:val="18"/>
                <w:rtl/>
              </w:rPr>
              <w:t>429,240,544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مبلغ مصاريف التعامل للربع المعني إلى متوسط صافي قيمة أصول الصندوق</w:t>
            </w:r>
          </w:p>
        </w:tc>
        <w:tc>
          <w:tcPr>
            <w:tcW w:type="dxa" w:w="6860"/>
          </w:tcPr>
          <w:p>
            <w:pPr>
              <w:bidi w:val="1"/>
              <w:spacing w:before="0" w:after="0" w:line="276" w:lineRule="auto"/>
            </w:pPr>
            <w:r>
              <w:rPr>
                <w:rFonts w:ascii="Arial" w:hAnsi="Arial" w:cs="Arial" w:eastAsia="Arial"/>
                <w:b/>
                <w:bCs/>
                <w:color w:val="0E1E3A"/>
                <w:sz w:val="18"/>
                <w:szCs w:val="18"/>
                <w:rtl/>
              </w:rPr>
              <w:t>لا يوجد</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مصاريف التعامل للربع المعني إلى متوسط صافي قيمة أصول الصندوق</w:t>
            </w:r>
          </w:p>
        </w:tc>
        <w:tc>
          <w:tcPr>
            <w:tcW w:type="dxa" w:w="6860"/>
          </w:tcPr>
          <w:p>
            <w:pPr>
              <w:bidi w:val="1"/>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مصروفات الصفقات للربع المعني إلى متوسط صافي قيمة أصول الصندوق</w:t>
            </w:r>
          </w:p>
        </w:tc>
        <w:tc>
          <w:tcPr>
            <w:tcW w:type="dxa" w:w="6860"/>
          </w:tcPr>
          <w:p>
            <w:pPr>
              <w:bidi w:val="1"/>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مصروفات وأتعاب الصندوق إلى القيمة الإجمالية لأصول الصندوق **</w:t>
            </w:r>
          </w:p>
        </w:tc>
        <w:tc>
          <w:tcPr>
            <w:tcW w:type="dxa" w:w="6860"/>
          </w:tcPr>
          <w:p>
            <w:pPr>
              <w:bidi w:val="1"/>
              <w:spacing w:before="0" w:after="0" w:line="276" w:lineRule="auto"/>
            </w:pPr>
            <w:r>
              <w:rPr>
                <w:rFonts w:ascii="Arial" w:hAnsi="Arial" w:cs="Arial" w:eastAsia="Arial"/>
                <w:b/>
                <w:bCs/>
                <w:color w:val="0E1E3A"/>
                <w:sz w:val="18"/>
                <w:szCs w:val="18"/>
              </w:rPr>
              <w:t>‎0.39%‎</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إجمالي تكاليف الصندوق إلى القيمة الإجمالية لأصول الصندوق ***</w:t>
            </w:r>
          </w:p>
        </w:tc>
        <w:tc>
          <w:tcPr>
            <w:tcW w:type="dxa" w:w="6860"/>
          </w:tcPr>
          <w:p>
            <w:pPr>
              <w:bidi w:val="1"/>
              <w:spacing w:before="0" w:after="0" w:line="276" w:lineRule="auto"/>
            </w:pPr>
            <w:r>
              <w:rPr>
                <w:rFonts w:ascii="Arial" w:hAnsi="Arial" w:cs="Arial" w:eastAsia="Arial"/>
                <w:b/>
                <w:bCs/>
                <w:color w:val="0E1E3A"/>
                <w:sz w:val="18"/>
                <w:szCs w:val="18"/>
              </w:rPr>
              <w:t>‎0.47%‎</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إجمالي تكاليف / أتعاب الصندوق إلى متوسط صافي أصول الصندوق ****</w:t>
            </w:r>
          </w:p>
        </w:tc>
        <w:tc>
          <w:tcPr>
            <w:tcW w:type="dxa" w:w="6860"/>
          </w:tcPr>
          <w:p>
            <w:pPr>
              <w:bidi w:val="1"/>
              <w:spacing w:before="0" w:after="0" w:line="276" w:lineRule="auto"/>
            </w:pPr>
            <w:r>
              <w:rPr>
                <w:rFonts w:ascii="Arial" w:hAnsi="Arial" w:cs="Arial" w:eastAsia="Arial"/>
                <w:b/>
                <w:bCs/>
                <w:color w:val="0E1E3A"/>
                <w:sz w:val="18"/>
                <w:szCs w:val="18"/>
              </w:rPr>
              <w:t>‎0.48%‎</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تكاليف الصندوق للربع المعني</w:t>
            </w:r>
          </w:p>
        </w:tc>
        <w:tc>
          <w:tcPr>
            <w:tcW w:type="dxa" w:w="6860"/>
          </w:tcPr>
          <w:p>
            <w:pPr>
              <w:bidi w:val="1"/>
              <w:spacing w:before="0" w:after="0" w:line="276" w:lineRule="auto"/>
            </w:pPr>
            <w:r>
              <w:rPr>
                <w:rFonts w:ascii="Arial" w:hAnsi="Arial" w:cs="Arial" w:eastAsia="Arial"/>
                <w:b/>
                <w:bCs/>
                <w:color w:val="0E1E3A"/>
                <w:sz w:val="18"/>
                <w:szCs w:val="18"/>
                <w:rtl/>
              </w:rPr>
              <w:t>2,134,996 ر.س.</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كما في تاريخ 30 يونيو 2025م (غير مدققة).</w:t>
      </w:r>
      <w:r>
        <w:br/>
      </w:r>
      <w:r>
        <w:rPr>
          <w:rFonts w:ascii="Arial" w:hAnsi="Arial" w:cs="Arial" w:eastAsia="Arial"/>
          <w:color w:val="5A6478"/>
          <w:sz w:val="17"/>
          <w:szCs w:val="17"/>
          <w:rtl/>
        </w:rPr>
        <w:t>** مصروفات وأتعاب الصندوق هي كافة مصروفات الصندوق خلال الربع المعني ما عدا تكلفة التمويل.</w:t>
      </w:r>
      <w:r>
        <w:br/>
      </w:r>
      <w:r>
        <w:rPr>
          <w:rFonts w:ascii="Arial" w:hAnsi="Arial" w:cs="Arial" w:eastAsia="Arial"/>
          <w:color w:val="5A6478"/>
          <w:sz w:val="17"/>
          <w:szCs w:val="17"/>
          <w:rtl/>
        </w:rPr>
        <w:t>*** إجمالي تكاليف الصندوق هي كافة أتعاب ومصروفات الصندوق متضمنة تكاليف التمويل.</w:t>
      </w:r>
      <w:r>
        <w:br/>
      </w:r>
      <w:r>
        <w:rPr>
          <w:rFonts w:ascii="Arial" w:hAnsi="Arial" w:cs="Arial" w:eastAsia="Arial"/>
          <w:color w:val="5A6478"/>
          <w:sz w:val="17"/>
          <w:szCs w:val="17"/>
          <w:rtl/>
        </w:rPr>
        <w:t>**** متوسط صافي قيمة أصول الصندوق للفترة المعنية = 440,636,794 ر.س.</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7" name="Picture 9034"/>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توزيع الاستثمارات حسب الموقع الجغرافي</w:t>
      </w:r>
    </w:p>
    <w:p>
      <w:pPr>
        <w:bidi w:val="1"/>
        <w:spacing w:before="0" w:after="80" w:line="240" w:lineRule="auto"/>
        <w:jc w:val="center"/>
      </w:pPr>
      <w:r>
        <w:drawing>
          <wp:inline xmlns:a="http://schemas.openxmlformats.org/drawingml/2006/main" xmlns:pic="http://schemas.openxmlformats.org/drawingml/2006/picture">
            <wp:extent cx="6336000" cy="1883676"/>
            <wp:docPr id="8" name="Picture 9035"/>
            <wp:cNvGraphicFramePr>
              <a:graphicFrameLocks noChangeAspect="1"/>
            </wp:cNvGraphicFramePr>
            <a:graphic>
              <a:graphicData uri="http://schemas.openxmlformats.org/drawingml/2006/picture">
                <pic:pic>
                  <pic:nvPicPr>
                    <pic:cNvPr id="0" name="x3.j.jpg"/>
                    <pic:cNvPicPr/>
                  </pic:nvPicPr>
                  <pic:blipFill>
                    <a:blip r:embed="rId17"/>
                    <a:stretch>
                      <a:fillRect/>
                    </a:stretch>
                  </pic:blipFill>
                  <pic:spPr>
                    <a:xfrm>
                      <a:off x="0" y="0"/>
                      <a:ext cx="6336000" cy="1883676"/>
                    </a:xfrm>
                    <a:prstGeom prst="rect"/>
                  </pic:spPr>
                </pic:pic>
              </a:graphicData>
            </a:graphic>
          </wp:inline>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9" name="Picture 9036"/>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أكبر 10 استثمارات بالصندوق</w:t>
      </w:r>
    </w:p>
    <w:p>
      <w:pPr>
        <w:bidi w:val="1"/>
        <w:spacing w:before="0" w:after="80" w:line="240" w:lineRule="auto"/>
        <w:jc w:val="center"/>
      </w:pPr>
      <w:r>
        <w:drawing>
          <wp:inline xmlns:a="http://schemas.openxmlformats.org/drawingml/2006/main" xmlns:pic="http://schemas.openxmlformats.org/drawingml/2006/picture">
            <wp:extent cx="6336000" cy="2911135"/>
            <wp:docPr id="10" name="Picture 9037"/>
            <wp:cNvGraphicFramePr>
              <a:graphicFrameLocks noChangeAspect="1"/>
            </wp:cNvGraphicFramePr>
            <a:graphic>
              <a:graphicData uri="http://schemas.openxmlformats.org/drawingml/2006/picture">
                <pic:pic>
                  <pic:nvPicPr>
                    <pic:cNvPr id="0" name="x4.j.jpg"/>
                    <pic:cNvPicPr/>
                  </pic:nvPicPr>
                  <pic:blipFill>
                    <a:blip r:embed="rId18"/>
                    <a:stretch>
                      <a:fillRect/>
                    </a:stretch>
                  </pic:blipFill>
                  <pic:spPr>
                    <a:xfrm>
                      <a:off x="0" y="0"/>
                      <a:ext cx="6336000" cy="2911135"/>
                    </a:xfrm>
                    <a:prstGeom prst="rect"/>
                  </pic:spPr>
                </pic:pic>
              </a:graphicData>
            </a:graphic>
          </wp:inline>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1" name="Picture 9038"/>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بيانات أصول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قيمة محفظة التمويل التجاري</w:t>
            </w:r>
          </w:p>
        </w:tc>
        <w:tc>
          <w:tcPr>
            <w:tcW w:type="dxa" w:w="6860"/>
          </w:tcPr>
          <w:p>
            <w:pPr>
              <w:bidi w:val="1"/>
              <w:spacing w:before="0" w:after="0" w:line="276" w:lineRule="auto"/>
            </w:pPr>
            <w:r>
              <w:rPr>
                <w:rFonts w:ascii="Arial" w:hAnsi="Arial" w:cs="Arial" w:eastAsia="Arial"/>
                <w:b/>
                <w:bCs/>
                <w:color w:val="0E1E3A"/>
                <w:sz w:val="18"/>
                <w:szCs w:val="18"/>
                <w:rtl/>
              </w:rPr>
              <w:t>148,551,664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قيمة محفظة الإجارة</w:t>
            </w:r>
          </w:p>
        </w:tc>
        <w:tc>
          <w:tcPr>
            <w:tcW w:type="dxa" w:w="6860"/>
          </w:tcPr>
          <w:p>
            <w:pPr>
              <w:bidi w:val="1"/>
              <w:spacing w:before="0" w:after="0" w:line="276" w:lineRule="auto"/>
            </w:pPr>
            <w:r>
              <w:rPr>
                <w:rFonts w:ascii="Arial" w:hAnsi="Arial" w:cs="Arial" w:eastAsia="Arial"/>
                <w:b/>
                <w:bCs/>
                <w:color w:val="0E1E3A"/>
                <w:sz w:val="18"/>
                <w:szCs w:val="18"/>
                <w:rtl/>
              </w:rPr>
              <w:t>171,401,706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قيمة محفظة الصكوك</w:t>
            </w:r>
          </w:p>
        </w:tc>
        <w:tc>
          <w:tcPr>
            <w:tcW w:type="dxa" w:w="6860"/>
          </w:tcPr>
          <w:p>
            <w:pPr>
              <w:bidi w:val="1"/>
              <w:spacing w:before="0" w:after="0" w:line="276" w:lineRule="auto"/>
            </w:pPr>
            <w:r>
              <w:rPr>
                <w:rFonts w:ascii="Arial" w:hAnsi="Arial" w:cs="Arial" w:eastAsia="Arial"/>
                <w:b/>
                <w:bCs/>
                <w:color w:val="0E1E3A"/>
                <w:sz w:val="18"/>
                <w:szCs w:val="18"/>
                <w:rtl/>
              </w:rPr>
              <w:t>31,198,190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قيمة محفظة صناديق الدخل</w:t>
            </w:r>
          </w:p>
        </w:tc>
        <w:tc>
          <w:tcPr>
            <w:tcW w:type="dxa" w:w="6860"/>
          </w:tcPr>
          <w:p>
            <w:pPr>
              <w:bidi w:val="1"/>
              <w:spacing w:before="0" w:after="0" w:line="276" w:lineRule="auto"/>
            </w:pPr>
            <w:r>
              <w:rPr>
                <w:rFonts w:ascii="Arial" w:hAnsi="Arial" w:cs="Arial" w:eastAsia="Arial"/>
                <w:b/>
                <w:bCs/>
                <w:color w:val="0E1E3A"/>
                <w:sz w:val="18"/>
                <w:szCs w:val="18"/>
                <w:rtl/>
              </w:rPr>
              <w:t>86,540,757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النقد وما في حكمه</w:t>
            </w:r>
          </w:p>
        </w:tc>
        <w:tc>
          <w:tcPr>
            <w:tcW w:type="dxa" w:w="6860"/>
          </w:tcPr>
          <w:p>
            <w:pPr>
              <w:bidi w:val="1"/>
              <w:spacing w:before="0" w:after="0" w:line="276" w:lineRule="auto"/>
            </w:pPr>
            <w:r>
              <w:rPr>
                <w:rFonts w:ascii="Arial" w:hAnsi="Arial" w:cs="Arial" w:eastAsia="Arial"/>
                <w:b/>
                <w:bCs/>
                <w:color w:val="0E1E3A"/>
                <w:sz w:val="18"/>
                <w:szCs w:val="18"/>
                <w:rtl/>
              </w:rPr>
              <w:t>15,057,416 ر.س.</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2" name="Picture 9039"/>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أداء صافي قيمة الأصول وسعر الوحدة</w:t>
      </w:r>
    </w:p>
    <w:p>
      <w:pPr>
        <w:bidi w:val="1"/>
        <w:spacing w:before="0" w:after="80" w:line="240" w:lineRule="auto"/>
        <w:jc w:val="center"/>
      </w:pPr>
      <w:r>
        <w:drawing>
          <wp:inline xmlns:a="http://schemas.openxmlformats.org/drawingml/2006/main" xmlns:pic="http://schemas.openxmlformats.org/drawingml/2006/picture">
            <wp:extent cx="6336000" cy="3091892"/>
            <wp:docPr id="13" name="Picture 9040"/>
            <wp:cNvGraphicFramePr>
              <a:graphicFrameLocks noChangeAspect="1"/>
            </wp:cNvGraphicFramePr>
            <a:graphic>
              <a:graphicData uri="http://schemas.openxmlformats.org/drawingml/2006/picture">
                <pic:pic>
                  <pic:nvPicPr>
                    <pic:cNvPr id="0" name="x5.j.jpg"/>
                    <pic:cNvPicPr/>
                  </pic:nvPicPr>
                  <pic:blipFill>
                    <a:blip r:embed="rId19"/>
                    <a:stretch>
                      <a:fillRect/>
                    </a:stretch>
                  </pic:blipFill>
                  <pic:spPr>
                    <a:xfrm>
                      <a:off x="0" y="0"/>
                      <a:ext cx="6336000" cy="3091892"/>
                    </a:xfrm>
                    <a:prstGeom prst="rect"/>
                  </pic:spPr>
                </pic:pic>
              </a:graphicData>
            </a:graphic>
          </wp:inline>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4" name="Picture 9041"/>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بيانات القيمة السوقية للصندوق*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الإدراج</w:t>
            </w:r>
          </w:p>
        </w:tc>
        <w:tc>
          <w:tcPr>
            <w:tcW w:type="dxa" w:w="6860"/>
          </w:tcPr>
          <w:p>
            <w:pPr>
              <w:bidi w:val="1"/>
              <w:spacing w:before="0" w:after="0" w:line="276" w:lineRule="auto"/>
            </w:pPr>
            <w:r>
              <w:rPr>
                <w:rFonts w:ascii="Arial" w:hAnsi="Arial" w:cs="Arial" w:eastAsia="Arial"/>
                <w:b/>
                <w:bCs/>
                <w:color w:val="0E1E3A"/>
                <w:sz w:val="18"/>
                <w:szCs w:val="18"/>
                <w:rtl/>
              </w:rPr>
              <w:t>472,814,700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31 مارس 2021م</w:t>
            </w:r>
          </w:p>
        </w:tc>
        <w:tc>
          <w:tcPr>
            <w:tcW w:type="dxa" w:w="6860"/>
          </w:tcPr>
          <w:p>
            <w:pPr>
              <w:bidi w:val="1"/>
              <w:spacing w:before="0" w:after="0" w:line="276" w:lineRule="auto"/>
            </w:pPr>
            <w:r>
              <w:rPr>
                <w:rFonts w:ascii="Arial" w:hAnsi="Arial" w:cs="Arial" w:eastAsia="Arial"/>
                <w:b/>
                <w:bCs/>
                <w:color w:val="0E1E3A"/>
                <w:sz w:val="18"/>
                <w:szCs w:val="18"/>
                <w:rtl/>
              </w:rPr>
              <w:t>428,370,118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30 يونيو 2021م</w:t>
            </w:r>
          </w:p>
        </w:tc>
        <w:tc>
          <w:tcPr>
            <w:tcW w:type="dxa" w:w="6860"/>
          </w:tcPr>
          <w:p>
            <w:pPr>
              <w:bidi w:val="1"/>
              <w:spacing w:before="0" w:after="0" w:line="276" w:lineRule="auto"/>
            </w:pPr>
            <w:r>
              <w:rPr>
                <w:rFonts w:ascii="Arial" w:hAnsi="Arial" w:cs="Arial" w:eastAsia="Arial"/>
                <w:b/>
                <w:bCs/>
                <w:color w:val="0E1E3A"/>
                <w:sz w:val="18"/>
                <w:szCs w:val="18"/>
                <w:rtl/>
              </w:rPr>
              <w:t>433,098,265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30 سبتمبر 2021م</w:t>
            </w:r>
          </w:p>
        </w:tc>
        <w:tc>
          <w:tcPr>
            <w:tcW w:type="dxa" w:w="6860"/>
          </w:tcPr>
          <w:p>
            <w:pPr>
              <w:bidi w:val="1"/>
              <w:spacing w:before="0" w:after="0" w:line="276" w:lineRule="auto"/>
            </w:pPr>
            <w:r>
              <w:rPr>
                <w:rFonts w:ascii="Arial" w:hAnsi="Arial" w:cs="Arial" w:eastAsia="Arial"/>
                <w:b/>
                <w:bCs/>
                <w:color w:val="0E1E3A"/>
                <w:sz w:val="18"/>
                <w:szCs w:val="18"/>
                <w:rtl/>
              </w:rPr>
              <w:t>427,897,304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31 ديسمبر 2021م</w:t>
            </w:r>
          </w:p>
        </w:tc>
        <w:tc>
          <w:tcPr>
            <w:tcW w:type="dxa" w:w="6860"/>
          </w:tcPr>
          <w:p>
            <w:pPr>
              <w:bidi w:val="1"/>
              <w:spacing w:before="0" w:after="0" w:line="276" w:lineRule="auto"/>
            </w:pPr>
            <w:r>
              <w:rPr>
                <w:rFonts w:ascii="Arial" w:hAnsi="Arial" w:cs="Arial" w:eastAsia="Arial"/>
                <w:b/>
                <w:bCs/>
                <w:color w:val="0E1E3A"/>
                <w:sz w:val="18"/>
                <w:szCs w:val="18"/>
                <w:rtl/>
              </w:rPr>
              <w:t>409,930,345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31 مارس 2022م</w:t>
            </w:r>
          </w:p>
        </w:tc>
        <w:tc>
          <w:tcPr>
            <w:tcW w:type="dxa" w:w="6860"/>
          </w:tcPr>
          <w:p>
            <w:pPr>
              <w:bidi w:val="1"/>
              <w:spacing w:before="0" w:after="0" w:line="276" w:lineRule="auto"/>
            </w:pPr>
            <w:r>
              <w:rPr>
                <w:rFonts w:ascii="Arial" w:hAnsi="Arial" w:cs="Arial" w:eastAsia="Arial"/>
                <w:b/>
                <w:bCs/>
                <w:color w:val="0E1E3A"/>
                <w:sz w:val="18"/>
                <w:szCs w:val="18"/>
                <w:rtl/>
              </w:rPr>
              <w:t>402,838,124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30 يونيو 2022م</w:t>
            </w:r>
          </w:p>
        </w:tc>
        <w:tc>
          <w:tcPr>
            <w:tcW w:type="dxa" w:w="6860"/>
          </w:tcPr>
          <w:p>
            <w:pPr>
              <w:bidi w:val="1"/>
              <w:spacing w:before="0" w:after="0" w:line="276" w:lineRule="auto"/>
            </w:pPr>
            <w:r>
              <w:rPr>
                <w:rFonts w:ascii="Arial" w:hAnsi="Arial" w:cs="Arial" w:eastAsia="Arial"/>
                <w:b/>
                <w:bCs/>
                <w:color w:val="0E1E3A"/>
                <w:sz w:val="18"/>
                <w:szCs w:val="18"/>
                <w:rtl/>
              </w:rPr>
              <w:t>342,317,843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30 سبتمبر 2022م</w:t>
            </w:r>
          </w:p>
        </w:tc>
        <w:tc>
          <w:tcPr>
            <w:tcW w:type="dxa" w:w="6860"/>
          </w:tcPr>
          <w:p>
            <w:pPr>
              <w:bidi w:val="1"/>
              <w:spacing w:before="0" w:after="0" w:line="276" w:lineRule="auto"/>
            </w:pPr>
            <w:r>
              <w:rPr>
                <w:rFonts w:ascii="Arial" w:hAnsi="Arial" w:cs="Arial" w:eastAsia="Arial"/>
                <w:b/>
                <w:bCs/>
                <w:color w:val="0E1E3A"/>
                <w:sz w:val="18"/>
                <w:szCs w:val="18"/>
                <w:rtl/>
              </w:rPr>
              <w:t>339,480,955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31 ديسمبر 2022م</w:t>
            </w:r>
          </w:p>
        </w:tc>
        <w:tc>
          <w:tcPr>
            <w:tcW w:type="dxa" w:w="6860"/>
          </w:tcPr>
          <w:p>
            <w:pPr>
              <w:bidi w:val="1"/>
              <w:spacing w:before="0" w:after="0" w:line="276" w:lineRule="auto"/>
            </w:pPr>
            <w:r>
              <w:rPr>
                <w:rFonts w:ascii="Arial" w:hAnsi="Arial" w:cs="Arial" w:eastAsia="Arial"/>
                <w:b/>
                <w:bCs/>
                <w:color w:val="0E1E3A"/>
                <w:sz w:val="18"/>
                <w:szCs w:val="18"/>
                <w:rtl/>
              </w:rPr>
              <w:t>281,324,747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31 مارس 2023م</w:t>
            </w:r>
          </w:p>
        </w:tc>
        <w:tc>
          <w:tcPr>
            <w:tcW w:type="dxa" w:w="6860"/>
          </w:tcPr>
          <w:p>
            <w:pPr>
              <w:bidi w:val="1"/>
              <w:spacing w:before="0" w:after="0" w:line="276" w:lineRule="auto"/>
            </w:pPr>
            <w:r>
              <w:rPr>
                <w:rFonts w:ascii="Arial" w:hAnsi="Arial" w:cs="Arial" w:eastAsia="Arial"/>
                <w:b/>
                <w:bCs/>
                <w:color w:val="0E1E3A"/>
                <w:sz w:val="18"/>
                <w:szCs w:val="18"/>
                <w:rtl/>
              </w:rPr>
              <w:t>297,873,261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30 يونيو 2023م</w:t>
            </w:r>
          </w:p>
        </w:tc>
        <w:tc>
          <w:tcPr>
            <w:tcW w:type="dxa" w:w="6860"/>
          </w:tcPr>
          <w:p>
            <w:pPr>
              <w:bidi w:val="1"/>
              <w:spacing w:before="0" w:after="0" w:line="276" w:lineRule="auto"/>
            </w:pPr>
            <w:r>
              <w:rPr>
                <w:rFonts w:ascii="Arial" w:hAnsi="Arial" w:cs="Arial" w:eastAsia="Arial"/>
                <w:b/>
                <w:bCs/>
                <w:color w:val="0E1E3A"/>
                <w:sz w:val="18"/>
                <w:szCs w:val="18"/>
                <w:rtl/>
              </w:rPr>
              <w:t>329,079,031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30 سبتمبر 2023م</w:t>
            </w:r>
          </w:p>
        </w:tc>
        <w:tc>
          <w:tcPr>
            <w:tcW w:type="dxa" w:w="6860"/>
          </w:tcPr>
          <w:p>
            <w:pPr>
              <w:bidi w:val="1"/>
              <w:spacing w:before="0" w:after="0" w:line="276" w:lineRule="auto"/>
            </w:pPr>
            <w:r>
              <w:rPr>
                <w:rFonts w:ascii="Arial" w:hAnsi="Arial" w:cs="Arial" w:eastAsia="Arial"/>
                <w:b/>
                <w:bCs/>
                <w:color w:val="0E1E3A"/>
                <w:sz w:val="18"/>
                <w:szCs w:val="18"/>
                <w:rtl/>
              </w:rPr>
              <w:t>329,551,846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31 ديسمبر 2023م</w:t>
            </w:r>
          </w:p>
        </w:tc>
        <w:tc>
          <w:tcPr>
            <w:tcW w:type="dxa" w:w="6860"/>
          </w:tcPr>
          <w:p>
            <w:pPr>
              <w:bidi w:val="1"/>
              <w:spacing w:before="0" w:after="0" w:line="276" w:lineRule="auto"/>
            </w:pPr>
            <w:r>
              <w:rPr>
                <w:rFonts w:ascii="Arial" w:hAnsi="Arial" w:cs="Arial" w:eastAsia="Arial"/>
                <w:b/>
                <w:bCs/>
                <w:color w:val="0E1E3A"/>
                <w:sz w:val="18"/>
                <w:szCs w:val="18"/>
                <w:rtl/>
              </w:rPr>
              <w:t>335,698,437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31 مارس 2024م</w:t>
            </w:r>
          </w:p>
        </w:tc>
        <w:tc>
          <w:tcPr>
            <w:tcW w:type="dxa" w:w="6860"/>
          </w:tcPr>
          <w:p>
            <w:pPr>
              <w:bidi w:val="1"/>
              <w:spacing w:before="0" w:after="0" w:line="276" w:lineRule="auto"/>
            </w:pPr>
            <w:r>
              <w:rPr>
                <w:rFonts w:ascii="Arial" w:hAnsi="Arial" w:cs="Arial" w:eastAsia="Arial"/>
                <w:b/>
                <w:bCs/>
                <w:color w:val="0E1E3A"/>
                <w:sz w:val="18"/>
                <w:szCs w:val="18"/>
                <w:rtl/>
              </w:rPr>
              <w:t>320,568,367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30 يونيو 2024م</w:t>
            </w:r>
          </w:p>
        </w:tc>
        <w:tc>
          <w:tcPr>
            <w:tcW w:type="dxa" w:w="6860"/>
          </w:tcPr>
          <w:p>
            <w:pPr>
              <w:bidi w:val="1"/>
              <w:spacing w:before="0" w:after="0" w:line="276" w:lineRule="auto"/>
            </w:pPr>
            <w:r>
              <w:rPr>
                <w:rFonts w:ascii="Arial" w:hAnsi="Arial" w:cs="Arial" w:eastAsia="Arial"/>
                <w:b/>
                <w:bCs/>
                <w:color w:val="0E1E3A"/>
                <w:sz w:val="18"/>
                <w:szCs w:val="18"/>
                <w:rtl/>
              </w:rPr>
              <w:t>326,714,958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30 سبتمبر 2024م</w:t>
            </w:r>
          </w:p>
        </w:tc>
        <w:tc>
          <w:tcPr>
            <w:tcW w:type="dxa" w:w="6860"/>
          </w:tcPr>
          <w:p>
            <w:pPr>
              <w:bidi w:val="1"/>
              <w:spacing w:before="0" w:after="0" w:line="276" w:lineRule="auto"/>
            </w:pPr>
            <w:r>
              <w:rPr>
                <w:rFonts w:ascii="Arial" w:hAnsi="Arial" w:cs="Arial" w:eastAsia="Arial"/>
                <w:b/>
                <w:bCs/>
                <w:color w:val="0E1E3A"/>
                <w:sz w:val="18"/>
                <w:szCs w:val="18"/>
                <w:rtl/>
              </w:rPr>
              <w:t>296,927,632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31 ديسمبر 2024م</w:t>
            </w:r>
          </w:p>
        </w:tc>
        <w:tc>
          <w:tcPr>
            <w:tcW w:type="dxa" w:w="6860"/>
          </w:tcPr>
          <w:p>
            <w:pPr>
              <w:bidi w:val="1"/>
              <w:spacing w:before="0" w:after="0" w:line="276" w:lineRule="auto"/>
            </w:pPr>
            <w:r>
              <w:rPr>
                <w:rFonts w:ascii="Arial" w:hAnsi="Arial" w:cs="Arial" w:eastAsia="Arial"/>
                <w:b/>
                <w:bCs/>
                <w:color w:val="0E1E3A"/>
                <w:sz w:val="18"/>
                <w:szCs w:val="18"/>
                <w:rtl/>
              </w:rPr>
              <w:t>305,438,296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31 مارس 2025م</w:t>
            </w:r>
          </w:p>
        </w:tc>
        <w:tc>
          <w:tcPr>
            <w:tcW w:type="dxa" w:w="6860"/>
          </w:tcPr>
          <w:p>
            <w:pPr>
              <w:bidi w:val="1"/>
              <w:spacing w:before="0" w:after="0" w:line="276" w:lineRule="auto"/>
            </w:pPr>
            <w:r>
              <w:rPr>
                <w:rFonts w:ascii="Arial" w:hAnsi="Arial" w:cs="Arial" w:eastAsia="Arial"/>
                <w:b/>
                <w:bCs/>
                <w:color w:val="0E1E3A"/>
                <w:sz w:val="18"/>
                <w:szCs w:val="18"/>
                <w:rtl/>
              </w:rPr>
              <w:t>286,525,708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30 يونيو 2025م</w:t>
            </w:r>
          </w:p>
        </w:tc>
        <w:tc>
          <w:tcPr>
            <w:tcW w:type="dxa" w:w="6860"/>
          </w:tcPr>
          <w:p>
            <w:pPr>
              <w:bidi w:val="1"/>
              <w:spacing w:before="0" w:after="0" w:line="276" w:lineRule="auto"/>
            </w:pPr>
            <w:r>
              <w:rPr>
                <w:rFonts w:ascii="Arial" w:hAnsi="Arial" w:cs="Arial" w:eastAsia="Arial"/>
                <w:b/>
                <w:bCs/>
                <w:color w:val="0E1E3A"/>
                <w:sz w:val="18"/>
                <w:szCs w:val="18"/>
                <w:rtl/>
              </w:rPr>
              <w:t>279,433,488 ر.س.</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بناء على سعر الوحدة.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5" name="Picture 9042"/>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بيانات وحدات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سعر الوحدة بنهاية الربع الثاني (30 يونيو 2025م)</w:t>
            </w:r>
          </w:p>
        </w:tc>
        <w:tc>
          <w:tcPr>
            <w:tcW w:type="dxa" w:w="6860"/>
          </w:tcPr>
          <w:p>
            <w:pPr>
              <w:bidi w:val="1"/>
              <w:spacing w:before="0" w:after="0" w:line="276" w:lineRule="auto"/>
            </w:pPr>
            <w:r>
              <w:rPr>
                <w:rFonts w:ascii="Arial" w:hAnsi="Arial" w:cs="Arial" w:eastAsia="Arial"/>
                <w:b/>
                <w:bCs/>
                <w:color w:val="0E1E3A"/>
                <w:sz w:val="18"/>
                <w:szCs w:val="18"/>
                <w:rtl/>
              </w:rPr>
              <w:t>5.91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التغير في سعر الوحدة مقارنة بالربع السابق (من تاريخ 27 مارس 2025م إلى 30 يونيو 2025م)</w:t>
            </w:r>
          </w:p>
        </w:tc>
        <w:tc>
          <w:tcPr>
            <w:tcW w:type="dxa" w:w="6860"/>
          </w:tcPr>
          <w:p>
            <w:pPr>
              <w:bidi w:val="1"/>
              <w:spacing w:before="0" w:after="0" w:line="276" w:lineRule="auto"/>
            </w:pPr>
            <w:r>
              <w:rPr>
                <w:rFonts w:ascii="Arial" w:hAnsi="Arial" w:cs="Arial" w:eastAsia="Arial"/>
                <w:b/>
                <w:bCs/>
                <w:color w:val="0E1E3A"/>
                <w:sz w:val="18"/>
                <w:szCs w:val="18"/>
              </w:rPr>
              <w:t>‎-2.48%‎</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أداء سعر الوحدة منذ تاريخ الإدراج (من تاريخ الإدراج إلى نهاية الربع الثاني 2025م)</w:t>
            </w:r>
          </w:p>
        </w:tc>
        <w:tc>
          <w:tcPr>
            <w:tcW w:type="dxa" w:w="6860"/>
          </w:tcPr>
          <w:p>
            <w:pPr>
              <w:bidi w:val="1"/>
              <w:spacing w:before="0" w:after="0" w:line="276" w:lineRule="auto"/>
            </w:pPr>
            <w:r>
              <w:rPr>
                <w:rFonts w:ascii="Arial" w:hAnsi="Arial" w:cs="Arial" w:eastAsia="Arial"/>
                <w:b/>
                <w:bCs/>
                <w:color w:val="0E1E3A"/>
                <w:sz w:val="18"/>
                <w:szCs w:val="18"/>
              </w:rPr>
              <w:t>‎-40.90%‎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أعلى سعر في 52 أسبوعا</w:t>
            </w:r>
          </w:p>
        </w:tc>
        <w:tc>
          <w:tcPr>
            <w:tcW w:type="dxa" w:w="6860"/>
          </w:tcPr>
          <w:p>
            <w:pPr>
              <w:bidi w:val="1"/>
              <w:spacing w:before="0" w:after="0" w:line="276" w:lineRule="auto"/>
            </w:pPr>
            <w:r>
              <w:rPr>
                <w:rFonts w:ascii="Arial" w:hAnsi="Arial" w:cs="Arial" w:eastAsia="Arial"/>
                <w:b/>
                <w:bCs/>
                <w:color w:val="0E1E3A"/>
                <w:sz w:val="18"/>
                <w:szCs w:val="18"/>
                <w:rtl/>
              </w:rPr>
              <w:t>6.94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أدنى سعر في 52 أسبوعا</w:t>
            </w:r>
          </w:p>
        </w:tc>
        <w:tc>
          <w:tcPr>
            <w:tcW w:type="dxa" w:w="6860"/>
          </w:tcPr>
          <w:p>
            <w:pPr>
              <w:bidi w:val="1"/>
              <w:spacing w:before="0" w:after="0" w:line="276" w:lineRule="auto"/>
            </w:pPr>
            <w:r>
              <w:rPr>
                <w:rFonts w:ascii="Arial" w:hAnsi="Arial" w:cs="Arial" w:eastAsia="Arial"/>
                <w:b/>
                <w:bCs/>
                <w:color w:val="0E1E3A"/>
                <w:sz w:val="18"/>
                <w:szCs w:val="18"/>
                <w:rtl/>
              </w:rPr>
              <w:t>5.84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عدد الوحدات القائمة</w:t>
            </w:r>
          </w:p>
        </w:tc>
        <w:tc>
          <w:tcPr>
            <w:tcW w:type="dxa" w:w="6860"/>
          </w:tcPr>
          <w:p>
            <w:pPr>
              <w:bidi w:val="1"/>
              <w:spacing w:before="0" w:after="0" w:line="276" w:lineRule="auto"/>
            </w:pPr>
            <w:r>
              <w:rPr>
                <w:rFonts w:ascii="Arial" w:hAnsi="Arial" w:cs="Arial" w:eastAsia="Arial"/>
                <w:b/>
                <w:bCs/>
                <w:color w:val="0E1E3A"/>
                <w:sz w:val="18"/>
                <w:szCs w:val="18"/>
                <w:rtl/>
              </w:rPr>
              <w:t>47,281,470 وحدة</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مكرر الربحية</w:t>
            </w:r>
          </w:p>
        </w:tc>
        <w:tc>
          <w:tcPr>
            <w:tcW w:type="dxa" w:w="6860"/>
          </w:tcPr>
          <w:p>
            <w:pPr>
              <w:bidi w:val="1"/>
              <w:spacing w:before="0" w:after="0" w:line="276" w:lineRule="auto"/>
            </w:pPr>
            <w:r>
              <w:rPr>
                <w:rFonts w:ascii="Arial" w:hAnsi="Arial" w:cs="Arial" w:eastAsia="Arial"/>
                <w:b/>
                <w:bCs/>
                <w:color w:val="0E1E3A"/>
                <w:sz w:val="18"/>
                <w:szCs w:val="18"/>
                <w:rtl/>
              </w:rPr>
              <w:t>لا ينطبق</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6" name="Picture 9043"/>
            <wp:cNvGraphicFramePr>
              <a:graphicFrameLocks noChangeAspect="1"/>
            </wp:cNvGraphicFramePr>
            <a:graphic>
              <a:graphicData uri="http://schemas.openxmlformats.org/drawingml/2006/picture">
                <pic:pic>
                  <pic:nvPicPr>
                    <pic:cNvPr id="0" name="ico_737e94dc9d8d67dbf235ae564951a5f7.png"/>
                    <pic:cNvPicPr/>
                  </pic:nvPicPr>
                  <pic:blipFill>
                    <a:blip r:embed="rId20"/>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توزيع الأرباح</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سياسة توزيع الأرباح</w:t>
            </w:r>
          </w:p>
        </w:tc>
        <w:tc>
          <w:tcPr>
            <w:tcW w:type="dxa" w:w="6860"/>
          </w:tcPr>
          <w:p>
            <w:pPr>
              <w:bidi w:val="1"/>
              <w:spacing w:before="0" w:after="0" w:line="276" w:lineRule="auto"/>
            </w:pPr>
            <w:r>
              <w:rPr>
                <w:rFonts w:ascii="Arial" w:hAnsi="Arial" w:cs="Arial" w:eastAsia="Arial"/>
                <w:b/>
                <w:bCs/>
                <w:color w:val="0E1E3A"/>
                <w:sz w:val="18"/>
                <w:szCs w:val="18"/>
                <w:rtl/>
              </w:rPr>
              <w:t xml:space="preserve">سيقوم مدير الصندوق بتوزيع </w:t>
            </w:r>
            <w:r>
              <w:rPr>
                <w:rFonts w:ascii="Arial" w:hAnsi="Arial" w:cs="Arial" w:eastAsia="Arial"/>
                <w:b/>
                <w:bCs/>
                <w:color w:val="0E1E3A"/>
                <w:sz w:val="18"/>
                <w:szCs w:val="18"/>
              </w:rPr>
              <w:t>‎100%‎</w:t>
            </w:r>
            <w:r>
              <w:rPr>
                <w:rFonts w:ascii="Arial" w:hAnsi="Arial" w:cs="Arial" w:eastAsia="Arial"/>
                <w:b/>
                <w:bCs/>
                <w:color w:val="0E1E3A"/>
                <w:sz w:val="18"/>
                <w:szCs w:val="18"/>
                <w:rtl/>
              </w:rPr>
              <w:t xml:space="preserve"> من الأرباح نصف السنوية المستلمة من عوائد استثمارات الصندوق، بعد خصم المصروفات على مالكي الوحدات مرتين في السنة، على أن تكون التوزيعات خلال شهري أغسطس وفبراير سنويا.</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الأرباح المدفوعة خلال الربع المعني *</w:t>
            </w:r>
          </w:p>
        </w:tc>
        <w:tc>
          <w:tcPr>
            <w:tcW w:type="dxa" w:w="6860"/>
          </w:tcPr>
          <w:p>
            <w:pPr>
              <w:bidi w:val="1"/>
              <w:spacing w:before="0" w:after="0" w:line="276" w:lineRule="auto"/>
            </w:pPr>
            <w:r>
              <w:rPr>
                <w:rFonts w:ascii="Arial" w:hAnsi="Arial" w:cs="Arial" w:eastAsia="Arial"/>
                <w:b/>
                <w:bCs/>
                <w:color w:val="0E1E3A"/>
                <w:sz w:val="18"/>
                <w:szCs w:val="18"/>
                <w:rtl/>
              </w:rPr>
              <w:t>-</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الأرباح الموزعة عن آخر فترة نصف سنوية **</w:t>
            </w:r>
          </w:p>
        </w:tc>
        <w:tc>
          <w:tcPr>
            <w:tcW w:type="dxa" w:w="6860"/>
          </w:tcPr>
          <w:p>
            <w:pPr>
              <w:bidi w:val="1"/>
              <w:spacing w:before="0" w:after="0" w:line="276" w:lineRule="auto"/>
            </w:pPr>
            <w:r>
              <w:rPr>
                <w:rFonts w:ascii="Arial" w:hAnsi="Arial" w:cs="Arial" w:eastAsia="Arial"/>
                <w:b/>
                <w:bCs/>
                <w:color w:val="0E1E3A"/>
                <w:sz w:val="18"/>
                <w:szCs w:val="18"/>
                <w:rtl/>
              </w:rPr>
              <w:t>10,874,738.10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الربح الموزع عن آخر فترة نصف سنوية عن كل وحدة</w:t>
            </w:r>
          </w:p>
        </w:tc>
        <w:tc>
          <w:tcPr>
            <w:tcW w:type="dxa" w:w="6860"/>
          </w:tcPr>
          <w:p>
            <w:pPr>
              <w:bidi w:val="1"/>
              <w:spacing w:before="0" w:after="0" w:line="276" w:lineRule="auto"/>
            </w:pPr>
            <w:r>
              <w:rPr>
                <w:rFonts w:ascii="Arial" w:hAnsi="Arial" w:cs="Arial" w:eastAsia="Arial"/>
                <w:b/>
                <w:bCs/>
                <w:color w:val="0E1E3A"/>
                <w:sz w:val="18"/>
                <w:szCs w:val="18"/>
                <w:rtl/>
              </w:rPr>
              <w:t>0.23 ر 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الربح الموزع في الربع المعني من سعر الوحدة الأولي</w:t>
            </w:r>
          </w:p>
        </w:tc>
        <w:tc>
          <w:tcPr>
            <w:tcW w:type="dxa" w:w="6860"/>
          </w:tcPr>
          <w:p>
            <w:pPr>
              <w:bidi w:val="1"/>
              <w:spacing w:before="0" w:after="0" w:line="276" w:lineRule="auto"/>
            </w:pPr>
            <w:r>
              <w:rPr>
                <w:rFonts w:ascii="Arial" w:hAnsi="Arial" w:cs="Arial" w:eastAsia="Arial"/>
                <w:b/>
                <w:bCs/>
                <w:color w:val="0E1E3A"/>
                <w:sz w:val="18"/>
                <w:szCs w:val="18"/>
                <w:rtl/>
              </w:rPr>
              <w:t>-</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الربح الموزع في الربع المعني على سعر الوحدة</w:t>
            </w:r>
          </w:p>
        </w:tc>
        <w:tc>
          <w:tcPr>
            <w:tcW w:type="dxa" w:w="6860"/>
          </w:tcPr>
          <w:p>
            <w:pPr>
              <w:bidi w:val="1"/>
              <w:spacing w:before="0" w:after="0" w:line="276" w:lineRule="auto"/>
            </w:pPr>
            <w:r>
              <w:rPr>
                <w:rFonts w:ascii="Arial" w:hAnsi="Arial" w:cs="Arial" w:eastAsia="Arial"/>
                <w:b/>
                <w:bCs/>
                <w:color w:val="0E1E3A"/>
                <w:sz w:val="18"/>
                <w:szCs w:val="18"/>
                <w:rtl/>
              </w:rPr>
              <w:t>-</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الدخل (خسارة (للربع المعني *</w:t>
            </w:r>
          </w:p>
        </w:tc>
        <w:tc>
          <w:tcPr>
            <w:tcW w:type="dxa" w:w="6860"/>
          </w:tcPr>
          <w:p>
            <w:pPr>
              <w:bidi w:val="1"/>
              <w:spacing w:before="0" w:after="0" w:line="276" w:lineRule="auto"/>
            </w:pPr>
            <w:r>
              <w:rPr>
                <w:rFonts w:ascii="Arial" w:hAnsi="Arial" w:cs="Arial" w:eastAsia="Arial"/>
                <w:b/>
                <w:bCs/>
                <w:color w:val="0E1E3A"/>
                <w:sz w:val="18"/>
                <w:szCs w:val="18"/>
                <w:rtl/>
              </w:rPr>
              <w:t>(20,552,162)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الدخل للربع المعني على سعر الوحدة (30 يونيو 2025م)</w:t>
            </w:r>
          </w:p>
        </w:tc>
        <w:tc>
          <w:tcPr>
            <w:tcW w:type="dxa" w:w="6860"/>
          </w:tcPr>
          <w:p>
            <w:pPr>
              <w:bidi w:val="1"/>
              <w:spacing w:before="0" w:after="0" w:line="276" w:lineRule="auto"/>
            </w:pPr>
            <w:r>
              <w:rPr>
                <w:rFonts w:ascii="Arial" w:hAnsi="Arial" w:cs="Arial" w:eastAsia="Arial"/>
                <w:b/>
                <w:bCs/>
                <w:color w:val="0E1E3A"/>
                <w:sz w:val="18"/>
                <w:szCs w:val="18"/>
              </w:rPr>
              <w:t>‎-7.35%‎</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من 1 أبريل 2025م إلى 30 يونيو 2025م.</w:t>
      </w:r>
      <w:r>
        <w:br/>
      </w:r>
      <w:r>
        <w:rPr>
          <w:rFonts w:ascii="Arial" w:hAnsi="Arial" w:cs="Arial" w:eastAsia="Arial"/>
          <w:color w:val="5A6478"/>
          <w:sz w:val="17"/>
          <w:szCs w:val="17"/>
          <w:rtl/>
        </w:rPr>
        <w:t>** عن الفترة من 1 يوليو 2024م إلى 31 ديسمبر 2024م</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7" name="Picture 9044"/>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معايير ومؤشرات أداء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المؤشر الاسترشادي</w:t>
            </w:r>
          </w:p>
        </w:tc>
        <w:tc>
          <w:tcPr>
            <w:tcW w:type="dxa" w:w="6860"/>
          </w:tcPr>
          <w:p>
            <w:pPr>
              <w:bidi w:val="1"/>
              <w:spacing w:before="0" w:after="0" w:line="276" w:lineRule="auto"/>
            </w:pPr>
            <w:r>
              <w:rPr>
                <w:rFonts w:ascii="Arial" w:hAnsi="Arial" w:cs="Arial" w:eastAsia="Arial"/>
                <w:b/>
                <w:bCs/>
                <w:color w:val="0E1E3A"/>
                <w:sz w:val="18"/>
                <w:szCs w:val="18"/>
                <w:rtl/>
              </w:rPr>
              <w:t>معدل فائدة التمويل المضمون لليلة واحدة (SOFR) لمدة 12 شهرًا، زائدا 300 نقطة أساس *</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سعر الوحدة الأولي (عند بداية الطرح)</w:t>
            </w:r>
          </w:p>
        </w:tc>
        <w:tc>
          <w:tcPr>
            <w:tcW w:type="dxa" w:w="6860"/>
          </w:tcPr>
          <w:p>
            <w:pPr>
              <w:bidi w:val="1"/>
              <w:spacing w:before="0" w:after="0" w:line="276" w:lineRule="auto"/>
            </w:pPr>
            <w:r>
              <w:rPr>
                <w:rFonts w:ascii="Arial" w:hAnsi="Arial" w:cs="Arial" w:eastAsia="Arial"/>
                <w:b/>
                <w:bCs/>
                <w:color w:val="0E1E3A"/>
                <w:sz w:val="18"/>
                <w:szCs w:val="18"/>
                <w:rtl/>
              </w:rPr>
              <w:t>10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أداء سعر الوحدة منذ الفترة السابقة **</w:t>
            </w:r>
          </w:p>
        </w:tc>
        <w:tc>
          <w:tcPr>
            <w:tcW w:type="dxa" w:w="6860"/>
          </w:tcPr>
          <w:p>
            <w:pPr>
              <w:bidi w:val="1"/>
              <w:spacing w:before="0" w:after="0" w:line="276" w:lineRule="auto"/>
            </w:pPr>
            <w:r>
              <w:rPr>
                <w:rFonts w:ascii="Arial" w:hAnsi="Arial" w:cs="Arial" w:eastAsia="Arial"/>
                <w:b/>
                <w:bCs/>
                <w:color w:val="0E1E3A"/>
                <w:sz w:val="18"/>
                <w:szCs w:val="18"/>
              </w:rPr>
              <w:t>‎-2.48%‎</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أداء سعر الوحدة منذ تاريخ البدء ***</w:t>
            </w:r>
          </w:p>
        </w:tc>
        <w:tc>
          <w:tcPr>
            <w:tcW w:type="dxa" w:w="6860"/>
          </w:tcPr>
          <w:p>
            <w:pPr>
              <w:bidi w:val="1"/>
              <w:spacing w:before="0" w:after="0" w:line="276" w:lineRule="auto"/>
            </w:pPr>
            <w:r>
              <w:rPr>
                <w:rFonts w:ascii="Arial" w:hAnsi="Arial" w:cs="Arial" w:eastAsia="Arial"/>
                <w:b/>
                <w:bCs/>
                <w:color w:val="0E1E3A"/>
                <w:sz w:val="18"/>
                <w:szCs w:val="18"/>
              </w:rPr>
              <w:t>‎-40.90%‎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العائد الكلي منذ تاريخ البدء ****</w:t>
            </w:r>
          </w:p>
        </w:tc>
        <w:tc>
          <w:tcPr>
            <w:tcW w:type="dxa" w:w="6860"/>
          </w:tcPr>
          <w:p>
            <w:pPr>
              <w:bidi w:val="1"/>
              <w:spacing w:before="0" w:after="0" w:line="276" w:lineRule="auto"/>
            </w:pPr>
            <w:r>
              <w:rPr>
                <w:rFonts w:ascii="Arial" w:hAnsi="Arial" w:cs="Arial" w:eastAsia="Arial"/>
                <w:b/>
                <w:bCs/>
                <w:color w:val="0E1E3A"/>
                <w:sz w:val="18"/>
                <w:szCs w:val="18"/>
              </w:rPr>
              <w:t>‎-21.03%‎</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في 16 مايو 2023م، قام الصندوق بتغيير مؤشره الاسترشادي من سعر فائدة الإقراض بين مصارف لندن (ليبور) لمدة 12 شهرًا زائدا 300 نقطة أساس إلى سعر فائدة التمويل المضمون لليلة واحدة (SOFR) لمدة 12 شهرًا زائدا 300 نقطة</w:t>
      </w:r>
      <w:r>
        <w:br/>
      </w:r>
      <w:r>
        <w:rPr>
          <w:rFonts w:ascii="Arial" w:hAnsi="Arial" w:cs="Arial" w:eastAsia="Arial"/>
          <w:color w:val="5A6478"/>
          <w:sz w:val="17"/>
          <w:szCs w:val="17"/>
          <w:rtl/>
        </w:rPr>
        <w:t>أساس.</w:t>
      </w:r>
      <w:r>
        <w:br/>
      </w:r>
      <w:r>
        <w:rPr>
          <w:rFonts w:ascii="Arial" w:hAnsi="Arial" w:cs="Arial" w:eastAsia="Arial"/>
          <w:color w:val="5A6478"/>
          <w:sz w:val="17"/>
          <w:szCs w:val="17"/>
          <w:rtl/>
        </w:rPr>
        <w:t>** سعر الوحدة بتاريخ 31 مارس 2025م = 6.06 ر.س.</w:t>
      </w:r>
      <w:r>
        <w:br/>
      </w:r>
      <w:r>
        <w:rPr>
          <w:rFonts w:ascii="Arial" w:hAnsi="Arial" w:cs="Arial" w:eastAsia="Arial"/>
          <w:color w:val="5A6478"/>
          <w:sz w:val="17"/>
          <w:szCs w:val="17"/>
          <w:rtl/>
        </w:rPr>
        <w:t>*** من تاريخ بدء الصندوق إلى نهاية الربع الثاني من العام 2025م.</w:t>
      </w:r>
      <w:r>
        <w:br/>
      </w:r>
      <w:r>
        <w:rPr>
          <w:rFonts w:ascii="Arial" w:hAnsi="Arial" w:cs="Arial" w:eastAsia="Arial"/>
          <w:color w:val="5A6478"/>
          <w:sz w:val="17"/>
          <w:szCs w:val="17"/>
          <w:rtl/>
        </w:rPr>
        <w:t>**** العائد الكلي = أداء سعر الوحدة + إجمالي الأرباح الموزعة (إن وجدت).</w:t>
      </w:r>
      <w:r>
        <w:br/>
      </w:r>
      <w:r>
        <w:rPr>
          <w:rFonts w:ascii="Arial" w:hAnsi="Arial" w:cs="Arial" w:eastAsia="Arial"/>
          <w:color w:val="5A6478"/>
          <w:sz w:val="17"/>
          <w:szCs w:val="17"/>
          <w:rtl/>
        </w:rPr>
        <w:t>ملاحظة: يجب الإحاطة بأن سعر الوحدة في السوق المالية يخضع للارتفاع والانخفاض بناء على عوامل السوق.</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8" name="Picture 9045"/>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وصف المؤشر الاسترشادي للصندوق</w:t>
      </w:r>
    </w:p>
    <w:p>
      <w:pPr>
        <w:bidi w:val="1"/>
        <w:spacing w:before="0" w:after="80" w:line="312" w:lineRule="auto"/>
      </w:pPr>
      <w:r>
        <w:rPr>
          <w:rFonts w:ascii="Arial" w:hAnsi="Arial" w:cs="Arial" w:eastAsia="Arial"/>
          <w:color w:val="0E1E3A"/>
          <w:sz w:val="20"/>
          <w:szCs w:val="20"/>
          <w:rtl/>
        </w:rPr>
        <w:t>المؤشر الاسترشادي للصندوق هو مؤشر معدل فائدة التمويل المضمون لليلة واحدة (SOFR) لمدة 12 شهرًا زائدا 300 نقطة أساس.</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9" name="Picture 9046"/>
            <wp:cNvGraphicFramePr>
              <a:graphicFrameLocks noChangeAspect="1"/>
            </wp:cNvGraphicFramePr>
            <a:graphic>
              <a:graphicData uri="http://schemas.openxmlformats.org/drawingml/2006/picture">
                <pic:pic>
                  <pic:nvPicPr>
                    <pic:cNvPr id="0" name="ico_a4c5ee8beea27f59442669cc4fdf4aa4.png"/>
                    <pic:cNvPicPr/>
                  </pic:nvPicPr>
                  <pic:blipFill>
                    <a:blip r:embed="rId21"/>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معايير ومؤشرات قياس الأداء</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3326"/>
        <w:gridCol w:w="3326"/>
        <w:gridCol w:w="3326"/>
      </w:tblGrid>
      <w:tr>
        <w:trPr>
          <w:tblHeader/>
        </w:trPr>
        <w:tc>
          <w:tcPr>
            <w:tcW w:type="dxa" w:w="3326"/>
            <w:shd w:val="clear" w:color="auto" w:fill="12284B"/>
          </w:tcPr>
          <w:p>
            <w:pPr>
              <w:bidi w:val="1"/>
              <w:spacing w:before="0" w:after="0" w:line="264" w:lineRule="auto"/>
            </w:pPr>
          </w:p>
        </w:tc>
        <w:tc>
          <w:tcPr>
            <w:tcW w:type="dxa" w:w="3326"/>
            <w:shd w:val="clear" w:color="auto" w:fill="12284B"/>
          </w:tcPr>
          <w:p>
            <w:pPr>
              <w:bidi w:val="1"/>
              <w:spacing w:before="0" w:after="0" w:line="264" w:lineRule="auto"/>
            </w:pPr>
            <w:r>
              <w:rPr>
                <w:rFonts w:ascii="Arial" w:hAnsi="Arial" w:cs="Arial" w:eastAsia="Arial"/>
                <w:b/>
                <w:bCs/>
                <w:color w:val="FFFFFF"/>
                <w:sz w:val="17"/>
                <w:szCs w:val="17"/>
                <w:rtl/>
              </w:rPr>
              <w:t>صندوق الخبير للدخل</w:t>
            </w:r>
          </w:p>
        </w:tc>
        <w:tc>
          <w:tcPr>
            <w:tcW w:type="dxa" w:w="3326"/>
            <w:shd w:val="clear" w:color="auto" w:fill="12284B"/>
          </w:tcPr>
          <w:p>
            <w:pPr>
              <w:bidi w:val="1"/>
              <w:spacing w:before="0" w:after="0" w:line="264" w:lineRule="auto"/>
            </w:pPr>
            <w:r>
              <w:rPr>
                <w:rFonts w:ascii="Arial" w:hAnsi="Arial" w:cs="Arial" w:eastAsia="Arial"/>
                <w:b/>
                <w:bCs/>
                <w:color w:val="FFFFFF"/>
                <w:sz w:val="17"/>
                <w:szCs w:val="17"/>
                <w:rtl/>
              </w:rPr>
              <w:t>معدل فائدة التمويل المضمون لليلة واحدة لمدة 12 شهرًا زائد 300 نقطة أساس</w:t>
            </w:r>
          </w:p>
        </w:tc>
      </w:tr>
      <w:tr>
        <w:tc>
          <w:tcPr>
            <w:tcW w:type="dxa" w:w="3326"/>
          </w:tcPr>
          <w:p>
            <w:pPr>
              <w:bidi w:val="1"/>
              <w:spacing w:before="0" w:after="0" w:line="264" w:lineRule="auto"/>
            </w:pPr>
            <w:r>
              <w:rPr>
                <w:rFonts w:ascii="Arial" w:hAnsi="Arial" w:cs="Arial" w:eastAsia="Arial"/>
                <w:color w:val="0E1E3A"/>
                <w:sz w:val="17"/>
                <w:szCs w:val="17"/>
                <w:rtl/>
              </w:rPr>
              <w:t>صافي قيمة الوحدة في بداية الفترة</w:t>
            </w:r>
          </w:p>
        </w:tc>
        <w:tc>
          <w:tcPr>
            <w:tcW w:type="dxa" w:w="3326"/>
          </w:tcPr>
          <w:p>
            <w:pPr>
              <w:bidi w:val="1"/>
              <w:spacing w:before="0" w:after="0" w:line="264" w:lineRule="auto"/>
            </w:pPr>
            <w:r>
              <w:rPr>
                <w:rFonts w:ascii="Arial" w:hAnsi="Arial" w:cs="Arial" w:eastAsia="Arial"/>
                <w:color w:val="0E1E3A"/>
                <w:sz w:val="17"/>
                <w:szCs w:val="17"/>
                <w:rtl/>
              </w:rPr>
              <w:t>9.5605</w:t>
            </w:r>
          </w:p>
        </w:tc>
        <w:tc>
          <w:tcPr>
            <w:tcW w:type="dxa" w:w="3326"/>
          </w:tcPr>
          <w:p>
            <w:pPr>
              <w:bidi w:val="1"/>
              <w:spacing w:before="0" w:after="0" w:line="264" w:lineRule="auto"/>
            </w:pPr>
            <w:r>
              <w:rPr>
                <w:rFonts w:ascii="Arial" w:hAnsi="Arial" w:cs="Arial" w:eastAsia="Arial"/>
                <w:color w:val="0E1E3A"/>
                <w:sz w:val="17"/>
                <w:szCs w:val="17"/>
                <w:rtl/>
              </w:rPr>
              <w:t>لا ينطبق</w:t>
            </w:r>
          </w:p>
        </w:tc>
      </w:tr>
      <w:tr>
        <w:tc>
          <w:tcPr>
            <w:tcW w:type="dxa" w:w="3326"/>
          </w:tcPr>
          <w:p>
            <w:pPr>
              <w:bidi w:val="1"/>
              <w:spacing w:before="0" w:after="0" w:line="264" w:lineRule="auto"/>
            </w:pPr>
            <w:r>
              <w:rPr>
                <w:rFonts w:ascii="Arial" w:hAnsi="Arial" w:cs="Arial" w:eastAsia="Arial"/>
                <w:color w:val="0E1E3A"/>
                <w:sz w:val="17"/>
                <w:szCs w:val="17"/>
                <w:rtl/>
              </w:rPr>
              <w:t>صافي قيمة الوحدة في نهاية الفترة</w:t>
            </w:r>
          </w:p>
        </w:tc>
        <w:tc>
          <w:tcPr>
            <w:tcW w:type="dxa" w:w="3326"/>
          </w:tcPr>
          <w:p>
            <w:pPr>
              <w:bidi w:val="1"/>
              <w:spacing w:before="0" w:after="0" w:line="264" w:lineRule="auto"/>
            </w:pPr>
            <w:r>
              <w:rPr>
                <w:rFonts w:ascii="Arial" w:hAnsi="Arial" w:cs="Arial" w:eastAsia="Arial"/>
                <w:color w:val="0E1E3A"/>
                <w:sz w:val="17"/>
                <w:szCs w:val="17"/>
                <w:rtl/>
              </w:rPr>
              <w:t>9.0784</w:t>
            </w:r>
          </w:p>
        </w:tc>
        <w:tc>
          <w:tcPr>
            <w:tcW w:type="dxa" w:w="3326"/>
          </w:tcPr>
          <w:p>
            <w:pPr>
              <w:bidi w:val="1"/>
              <w:spacing w:before="0" w:after="0" w:line="264" w:lineRule="auto"/>
            </w:pPr>
            <w:r>
              <w:rPr>
                <w:rFonts w:ascii="Arial" w:hAnsi="Arial" w:cs="Arial" w:eastAsia="Arial"/>
                <w:color w:val="0E1E3A"/>
                <w:sz w:val="17"/>
                <w:szCs w:val="17"/>
                <w:rtl/>
              </w:rPr>
              <w:t>لا ينطبق</w:t>
            </w:r>
          </w:p>
        </w:tc>
      </w:tr>
      <w:tr>
        <w:tc>
          <w:tcPr>
            <w:tcW w:type="dxa" w:w="3326"/>
          </w:tcPr>
          <w:p>
            <w:pPr>
              <w:bidi w:val="1"/>
              <w:spacing w:before="0" w:after="0" w:line="264" w:lineRule="auto"/>
            </w:pPr>
            <w:r>
              <w:rPr>
                <w:rFonts w:ascii="Arial" w:hAnsi="Arial" w:cs="Arial" w:eastAsia="Arial"/>
                <w:color w:val="0E1E3A"/>
                <w:sz w:val="17"/>
                <w:szCs w:val="17"/>
                <w:rtl/>
              </w:rPr>
              <w:t>أداء الوحدة</w:t>
            </w:r>
          </w:p>
        </w:tc>
        <w:tc>
          <w:tcPr>
            <w:tcW w:type="dxa" w:w="3326"/>
          </w:tcPr>
          <w:p>
            <w:pPr>
              <w:bidi w:val="1"/>
              <w:spacing w:before="0" w:after="0" w:line="264" w:lineRule="auto"/>
            </w:pPr>
            <w:r>
              <w:rPr>
                <w:rFonts w:ascii="Arial" w:hAnsi="Arial" w:cs="Arial" w:eastAsia="Arial"/>
                <w:color w:val="0E1E3A"/>
                <w:sz w:val="17"/>
                <w:szCs w:val="17"/>
              </w:rPr>
              <w:t>‎-5.04%‎</w:t>
            </w:r>
          </w:p>
        </w:tc>
        <w:tc>
          <w:tcPr>
            <w:tcW w:type="dxa" w:w="3326"/>
          </w:tcPr>
          <w:p>
            <w:pPr>
              <w:bidi w:val="1"/>
              <w:spacing w:before="0" w:after="0" w:line="264" w:lineRule="auto"/>
            </w:pPr>
            <w:r>
              <w:rPr>
                <w:rFonts w:ascii="Arial" w:hAnsi="Arial" w:cs="Arial" w:eastAsia="Arial"/>
                <w:color w:val="0E1E3A"/>
                <w:sz w:val="17"/>
                <w:szCs w:val="17"/>
                <w:rtl/>
              </w:rPr>
              <w:t xml:space="preserve">* </w:t>
            </w:r>
            <w:r>
              <w:rPr>
                <w:rFonts w:ascii="Arial" w:hAnsi="Arial" w:cs="Arial" w:eastAsia="Arial"/>
                <w:color w:val="0E1E3A"/>
                <w:sz w:val="17"/>
                <w:szCs w:val="17"/>
              </w:rPr>
              <w:t>‎1.70%‎</w:t>
            </w:r>
          </w:p>
        </w:tc>
      </w:tr>
      <w:tr>
        <w:tc>
          <w:tcPr>
            <w:tcW w:type="dxa" w:w="3326"/>
          </w:tcPr>
          <w:p>
            <w:pPr>
              <w:bidi w:val="1"/>
              <w:spacing w:before="0" w:after="0" w:line="264" w:lineRule="auto"/>
            </w:pPr>
            <w:r>
              <w:rPr>
                <w:rFonts w:ascii="Arial" w:hAnsi="Arial" w:cs="Arial" w:eastAsia="Arial"/>
                <w:color w:val="0E1E3A"/>
                <w:sz w:val="17"/>
                <w:szCs w:val="17"/>
                <w:rtl/>
              </w:rPr>
              <w:t xml:space="preserve">كما في تاريخ 30 يونيو 2025م * متوسط أداء المؤشر الاسترشادي يعادل </w:t>
            </w:r>
            <w:r>
              <w:rPr>
                <w:rFonts w:ascii="Arial" w:hAnsi="Arial" w:cs="Arial" w:eastAsia="Arial"/>
                <w:color w:val="0E1E3A"/>
                <w:sz w:val="17"/>
                <w:szCs w:val="17"/>
              </w:rPr>
              <w:t>‎7.13%‎</w:t>
            </w:r>
            <w:r>
              <w:rPr>
                <w:rFonts w:ascii="Arial" w:hAnsi="Arial" w:cs="Arial" w:eastAsia="Arial"/>
                <w:color w:val="0E1E3A"/>
                <w:sz w:val="17"/>
                <w:szCs w:val="17"/>
                <w:rtl/>
              </w:rPr>
              <w:t xml:space="preserve"> سنويا، أي ما يعادل عائد </w:t>
            </w:r>
            <w:r>
              <w:rPr>
                <w:rFonts w:ascii="Arial" w:hAnsi="Arial" w:cs="Arial" w:eastAsia="Arial"/>
                <w:color w:val="0E1E3A"/>
                <w:sz w:val="17"/>
                <w:szCs w:val="17"/>
              </w:rPr>
              <w:t>‎1.70%‎</w:t>
            </w:r>
            <w:r>
              <w:rPr>
                <w:rFonts w:ascii="Arial" w:hAnsi="Arial" w:cs="Arial" w:eastAsia="Arial"/>
                <w:color w:val="0E1E3A"/>
                <w:sz w:val="17"/>
                <w:szCs w:val="17"/>
                <w:rtl/>
              </w:rPr>
              <w:t xml:space="preserve"> للربع المعني.</w:t>
            </w:r>
          </w:p>
        </w:tc>
        <w:tc>
          <w:tcPr>
            <w:tcW w:type="dxa" w:w="3326"/>
          </w:tcPr>
          <w:p>
            <w:pPr>
              <w:bidi w:val="1"/>
              <w:spacing w:before="0" w:after="0" w:line="264" w:lineRule="auto"/>
            </w:pPr>
          </w:p>
        </w:tc>
        <w:tc>
          <w:tcPr>
            <w:tcW w:type="dxa" w:w="3326"/>
          </w:tcPr>
          <w:p>
            <w:pPr>
              <w:bidi w:val="1"/>
              <w:spacing w:before="0" w:after="0" w:line="264" w:lineRule="auto"/>
            </w:pP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0" name="Picture 9047"/>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ملكية استثمارات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rPr>
          <w:tblHeader/>
        </w:trPr>
        <w:tc>
          <w:tcPr>
            <w:tcW w:type="dxa" w:w="4989"/>
            <w:shd w:val="clear" w:color="auto" w:fill="12284B"/>
          </w:tcPr>
          <w:p>
            <w:pPr>
              <w:bidi w:val="1"/>
              <w:spacing w:before="0" w:after="0" w:line="264" w:lineRule="auto"/>
            </w:pPr>
            <w:r>
              <w:rPr>
                <w:rFonts w:ascii="Arial" w:hAnsi="Arial" w:cs="Arial" w:eastAsia="Arial"/>
                <w:b/>
                <w:bCs/>
                <w:color w:val="FFFFFF"/>
                <w:sz w:val="17"/>
                <w:szCs w:val="17"/>
                <w:rtl/>
              </w:rPr>
              <w:t>الملكية</w:t>
            </w:r>
          </w:p>
        </w:tc>
        <w:tc>
          <w:tcPr>
            <w:tcW w:type="dxa" w:w="4989"/>
            <w:shd w:val="clear" w:color="auto" w:fill="12284B"/>
          </w:tcPr>
          <w:p>
            <w:pPr>
              <w:bidi w:val="1"/>
              <w:spacing w:before="0" w:after="0" w:line="264" w:lineRule="auto"/>
            </w:pPr>
            <w:r>
              <w:rPr>
                <w:rFonts w:ascii="Arial" w:hAnsi="Arial" w:cs="Arial" w:eastAsia="Arial"/>
                <w:b/>
                <w:bCs/>
                <w:color w:val="FFFFFF"/>
                <w:sz w:val="17"/>
                <w:szCs w:val="17"/>
                <w:rtl/>
              </w:rPr>
              <w:t>النسبة (%)</w:t>
            </w:r>
          </w:p>
        </w:tc>
      </w:tr>
      <w:tr>
        <w:tc>
          <w:tcPr>
            <w:tcW w:type="dxa" w:w="4989"/>
          </w:tcPr>
          <w:p>
            <w:pPr>
              <w:bidi w:val="1"/>
              <w:spacing w:before="0" w:after="0" w:line="264" w:lineRule="auto"/>
            </w:pPr>
            <w:r>
              <w:rPr>
                <w:rFonts w:ascii="Arial" w:hAnsi="Arial" w:cs="Arial" w:eastAsia="Arial"/>
                <w:color w:val="0E1E3A"/>
                <w:sz w:val="17"/>
                <w:szCs w:val="17"/>
                <w:rtl/>
              </w:rPr>
              <w:t>ملكية تامة</w:t>
            </w:r>
          </w:p>
        </w:tc>
        <w:tc>
          <w:tcPr>
            <w:tcW w:type="dxa" w:w="4989"/>
          </w:tcPr>
          <w:p>
            <w:pPr>
              <w:bidi w:val="1"/>
              <w:spacing w:before="0" w:after="0" w:line="264" w:lineRule="auto"/>
            </w:pPr>
            <w:r>
              <w:rPr>
                <w:rFonts w:ascii="Arial" w:hAnsi="Arial" w:cs="Arial" w:eastAsia="Arial"/>
                <w:color w:val="0E1E3A"/>
                <w:sz w:val="17"/>
                <w:szCs w:val="17"/>
              </w:rPr>
              <w:t>‎100%‎</w:t>
            </w:r>
          </w:p>
        </w:tc>
      </w:tr>
      <w:tr>
        <w:tc>
          <w:tcPr>
            <w:tcW w:type="dxa" w:w="4989"/>
          </w:tcPr>
          <w:p>
            <w:pPr>
              <w:bidi w:val="1"/>
              <w:spacing w:before="0" w:after="0" w:line="264" w:lineRule="auto"/>
            </w:pPr>
            <w:r>
              <w:rPr>
                <w:rFonts w:ascii="Arial" w:hAnsi="Arial" w:cs="Arial" w:eastAsia="Arial"/>
                <w:color w:val="0E1E3A"/>
                <w:sz w:val="17"/>
                <w:szCs w:val="17"/>
                <w:rtl/>
              </w:rPr>
              <w:t>حق منفعة</w:t>
            </w:r>
          </w:p>
        </w:tc>
        <w:tc>
          <w:tcPr>
            <w:tcW w:type="dxa" w:w="4989"/>
          </w:tcPr>
          <w:p>
            <w:pPr>
              <w:bidi w:val="1"/>
              <w:spacing w:before="0" w:after="0" w:line="264" w:lineRule="auto"/>
            </w:pPr>
            <w:r>
              <w:rPr>
                <w:rFonts w:ascii="Arial" w:hAnsi="Arial" w:cs="Arial" w:eastAsia="Arial"/>
                <w:color w:val="0E1E3A"/>
                <w:sz w:val="17"/>
                <w:szCs w:val="17"/>
              </w:rPr>
              <w:t>‎0%‎</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1" name="Picture 9048"/>
            <wp:cNvGraphicFramePr>
              <a:graphicFrameLocks noChangeAspect="1"/>
            </wp:cNvGraphicFramePr>
            <a:graphic>
              <a:graphicData uri="http://schemas.openxmlformats.org/drawingml/2006/picture">
                <pic:pic>
                  <pic:nvPicPr>
                    <pic:cNvPr id="0" name="ico_a4c5ee8beea27f59442669cc4fdf4aa4.png"/>
                    <pic:cNvPicPr/>
                  </pic:nvPicPr>
                  <pic:blipFill>
                    <a:blip r:embed="rId21"/>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العوائد</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1663"/>
        <w:gridCol w:w="1663"/>
        <w:gridCol w:w="1663"/>
        <w:gridCol w:w="1663"/>
        <w:gridCol w:w="1663"/>
        <w:gridCol w:w="1663"/>
      </w:tblGrid>
      <w:tr>
        <w:trPr>
          <w:tblHeader/>
        </w:trPr>
        <w:tc>
          <w:tcPr>
            <w:tcW w:type="dxa" w:w="1663"/>
            <w:shd w:val="clear" w:color="auto" w:fill="12284B"/>
          </w:tcPr>
          <w:p>
            <w:pPr>
              <w:bidi w:val="1"/>
              <w:spacing w:before="0" w:after="0" w:line="264" w:lineRule="auto"/>
            </w:pPr>
            <w:r>
              <w:rPr>
                <w:rFonts w:ascii="Arial" w:hAnsi="Arial" w:cs="Arial" w:eastAsia="Arial"/>
                <w:b/>
                <w:bCs/>
                <w:color w:val="FFFFFF"/>
                <w:sz w:val="17"/>
                <w:szCs w:val="17"/>
                <w:rtl/>
              </w:rPr>
              <w:t>البند</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3 أشهر *</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سنة حتى تاريخه **</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سنة واحدة ***</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3 سنوات</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5 سنوات</w:t>
            </w:r>
          </w:p>
        </w:tc>
      </w:tr>
      <w:tr>
        <w:tc>
          <w:tcPr>
            <w:tcW w:type="dxa" w:w="1663"/>
          </w:tcPr>
          <w:p>
            <w:pPr>
              <w:bidi w:val="1"/>
              <w:spacing w:before="0" w:after="0" w:line="264" w:lineRule="auto"/>
            </w:pPr>
            <w:r>
              <w:rPr>
                <w:rFonts w:ascii="Arial" w:hAnsi="Arial" w:cs="Arial" w:eastAsia="Arial"/>
                <w:color w:val="0E1E3A"/>
                <w:sz w:val="17"/>
                <w:szCs w:val="17"/>
                <w:rtl/>
              </w:rPr>
              <w:t>العائد الكلي إلى صافي قيمة الوحدة "أداء الصندوق"</w:t>
            </w:r>
          </w:p>
        </w:tc>
        <w:tc>
          <w:tcPr>
            <w:tcW w:type="dxa" w:w="1663"/>
          </w:tcPr>
          <w:p>
            <w:pPr>
              <w:bidi w:val="1"/>
              <w:spacing w:before="0" w:after="0" w:line="264" w:lineRule="auto"/>
            </w:pPr>
            <w:r>
              <w:rPr>
                <w:rFonts w:ascii="Arial" w:hAnsi="Arial" w:cs="Arial" w:eastAsia="Arial"/>
                <w:color w:val="0E1E3A"/>
                <w:sz w:val="17"/>
                <w:szCs w:val="17"/>
              </w:rPr>
              <w:t>‎-5.04%‎</w:t>
            </w:r>
          </w:p>
        </w:tc>
        <w:tc>
          <w:tcPr>
            <w:tcW w:type="dxa" w:w="1663"/>
          </w:tcPr>
          <w:p>
            <w:pPr>
              <w:bidi w:val="1"/>
              <w:spacing w:before="0" w:after="0" w:line="264" w:lineRule="auto"/>
            </w:pPr>
            <w:r>
              <w:rPr>
                <w:rFonts w:ascii="Arial" w:hAnsi="Arial" w:cs="Arial" w:eastAsia="Arial"/>
                <w:color w:val="0E1E3A"/>
                <w:sz w:val="17"/>
                <w:szCs w:val="17"/>
              </w:rPr>
              <w:t>‎-3.26%‎</w:t>
            </w:r>
          </w:p>
        </w:tc>
        <w:tc>
          <w:tcPr>
            <w:tcW w:type="dxa" w:w="1663"/>
          </w:tcPr>
          <w:p>
            <w:pPr>
              <w:bidi w:val="1"/>
              <w:spacing w:before="0" w:after="0" w:line="264" w:lineRule="auto"/>
            </w:pPr>
            <w:r>
              <w:rPr>
                <w:rFonts w:ascii="Arial" w:hAnsi="Arial" w:cs="Arial" w:eastAsia="Arial"/>
                <w:color w:val="0E1E3A"/>
                <w:sz w:val="17"/>
                <w:szCs w:val="17"/>
              </w:rPr>
              <w:t>‎-1.49%‎</w:t>
            </w:r>
          </w:p>
        </w:tc>
        <w:tc>
          <w:tcPr>
            <w:tcW w:type="dxa" w:w="1663"/>
          </w:tcPr>
          <w:p>
            <w:pPr>
              <w:bidi w:val="1"/>
              <w:spacing w:before="0" w:after="0" w:line="264" w:lineRule="auto"/>
            </w:pPr>
            <w:r>
              <w:rPr>
                <w:rFonts w:ascii="Arial" w:hAnsi="Arial" w:cs="Arial" w:eastAsia="Arial"/>
                <w:color w:val="0E1E3A"/>
                <w:sz w:val="17"/>
                <w:szCs w:val="17"/>
              </w:rPr>
              <w:t>‎6.98%‎</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أداء المؤشر الاسترشادي</w:t>
            </w:r>
          </w:p>
        </w:tc>
        <w:tc>
          <w:tcPr>
            <w:tcW w:type="dxa" w:w="1663"/>
          </w:tcPr>
          <w:p>
            <w:pPr>
              <w:bidi w:val="1"/>
              <w:spacing w:before="0" w:after="0" w:line="264" w:lineRule="auto"/>
            </w:pPr>
            <w:r>
              <w:rPr>
                <w:rFonts w:ascii="Arial" w:hAnsi="Arial" w:cs="Arial" w:eastAsia="Arial"/>
                <w:color w:val="0E1E3A"/>
                <w:sz w:val="17"/>
                <w:szCs w:val="17"/>
              </w:rPr>
              <w:t>‎1.70%‎</w:t>
            </w:r>
          </w:p>
        </w:tc>
        <w:tc>
          <w:tcPr>
            <w:tcW w:type="dxa" w:w="1663"/>
          </w:tcPr>
          <w:p>
            <w:pPr>
              <w:bidi w:val="1"/>
              <w:spacing w:before="0" w:after="0" w:line="264" w:lineRule="auto"/>
            </w:pPr>
            <w:r>
              <w:rPr>
                <w:rFonts w:ascii="Arial" w:hAnsi="Arial" w:cs="Arial" w:eastAsia="Arial"/>
                <w:color w:val="0E1E3A"/>
                <w:sz w:val="17"/>
                <w:szCs w:val="17"/>
              </w:rPr>
              <w:t>‎3.41%‎</w:t>
            </w:r>
          </w:p>
        </w:tc>
        <w:tc>
          <w:tcPr>
            <w:tcW w:type="dxa" w:w="1663"/>
          </w:tcPr>
          <w:p>
            <w:pPr>
              <w:bidi w:val="1"/>
              <w:spacing w:before="0" w:after="0" w:line="264" w:lineRule="auto"/>
            </w:pPr>
            <w:r>
              <w:rPr>
                <w:rFonts w:ascii="Arial" w:hAnsi="Arial" w:cs="Arial" w:eastAsia="Arial"/>
                <w:color w:val="0E1E3A"/>
                <w:sz w:val="17"/>
                <w:szCs w:val="17"/>
              </w:rPr>
              <w:t>‎7.13%‎</w:t>
            </w:r>
          </w:p>
        </w:tc>
        <w:tc>
          <w:tcPr>
            <w:tcW w:type="dxa" w:w="1663"/>
          </w:tcPr>
          <w:p>
            <w:pPr>
              <w:bidi w:val="1"/>
              <w:spacing w:before="0" w:after="0" w:line="264" w:lineRule="auto"/>
            </w:pPr>
            <w:r>
              <w:rPr>
                <w:rFonts w:ascii="Arial" w:hAnsi="Arial" w:cs="Arial" w:eastAsia="Arial"/>
                <w:color w:val="0E1E3A"/>
                <w:sz w:val="17"/>
                <w:szCs w:val="17"/>
              </w:rPr>
              <w:t>‎32.58%‎</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فارق الأداء</w:t>
            </w:r>
          </w:p>
        </w:tc>
        <w:tc>
          <w:tcPr>
            <w:tcW w:type="dxa" w:w="1663"/>
          </w:tcPr>
          <w:p>
            <w:pPr>
              <w:bidi w:val="1"/>
              <w:spacing w:before="0" w:after="0" w:line="264" w:lineRule="auto"/>
            </w:pPr>
            <w:r>
              <w:rPr>
                <w:rFonts w:ascii="Arial" w:hAnsi="Arial" w:cs="Arial" w:eastAsia="Arial"/>
                <w:color w:val="0E1E3A"/>
                <w:sz w:val="17"/>
                <w:szCs w:val="17"/>
              </w:rPr>
              <w:t>‎-6.74%‎</w:t>
            </w:r>
          </w:p>
        </w:tc>
        <w:tc>
          <w:tcPr>
            <w:tcW w:type="dxa" w:w="1663"/>
          </w:tcPr>
          <w:p>
            <w:pPr>
              <w:bidi w:val="1"/>
              <w:spacing w:before="0" w:after="0" w:line="264" w:lineRule="auto"/>
            </w:pPr>
            <w:r>
              <w:rPr>
                <w:rFonts w:ascii="Arial" w:hAnsi="Arial" w:cs="Arial" w:eastAsia="Arial"/>
                <w:color w:val="0E1E3A"/>
                <w:sz w:val="17"/>
                <w:szCs w:val="17"/>
              </w:rPr>
              <w:t>‎-6.67%‎</w:t>
            </w:r>
          </w:p>
        </w:tc>
        <w:tc>
          <w:tcPr>
            <w:tcW w:type="dxa" w:w="1663"/>
          </w:tcPr>
          <w:p>
            <w:pPr>
              <w:bidi w:val="1"/>
              <w:spacing w:before="0" w:after="0" w:line="264" w:lineRule="auto"/>
            </w:pPr>
            <w:r>
              <w:rPr>
                <w:rFonts w:ascii="Arial" w:hAnsi="Arial" w:cs="Arial" w:eastAsia="Arial"/>
                <w:color w:val="0E1E3A"/>
                <w:sz w:val="17"/>
                <w:szCs w:val="17"/>
              </w:rPr>
              <w:t>‎-8.62%‎</w:t>
            </w:r>
          </w:p>
        </w:tc>
        <w:tc>
          <w:tcPr>
            <w:tcW w:type="dxa" w:w="1663"/>
          </w:tcPr>
          <w:p>
            <w:pPr>
              <w:bidi w:val="1"/>
              <w:spacing w:before="0" w:after="0" w:line="264" w:lineRule="auto"/>
            </w:pPr>
            <w:r>
              <w:rPr>
                <w:rFonts w:ascii="Arial" w:hAnsi="Arial" w:cs="Arial" w:eastAsia="Arial"/>
                <w:color w:val="0E1E3A"/>
                <w:sz w:val="17"/>
                <w:szCs w:val="17"/>
              </w:rPr>
              <w:t>‎-25.60%‎</w:t>
            </w:r>
          </w:p>
        </w:tc>
        <w:tc>
          <w:tcPr>
            <w:tcW w:type="dxa" w:w="1663"/>
          </w:tcPr>
          <w:p>
            <w:pPr>
              <w:bidi w:val="1"/>
              <w:spacing w:before="0" w:after="0" w:line="264" w:lineRule="auto"/>
            </w:pPr>
            <w:r>
              <w:rPr>
                <w:rFonts w:ascii="Arial" w:hAnsi="Arial" w:cs="Arial" w:eastAsia="Arial"/>
                <w:color w:val="0E1E3A"/>
                <w:sz w:val="17"/>
                <w:szCs w:val="17"/>
                <w:rtl/>
              </w:rPr>
              <w:t>لا ينطبق</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عن الفترة من 1 ابريل 2025م إلى 30 يونيو 2025م.</w:t>
      </w:r>
      <w:r>
        <w:br/>
      </w:r>
      <w:r>
        <w:rPr>
          <w:rFonts w:ascii="Arial" w:hAnsi="Arial" w:cs="Arial" w:eastAsia="Arial"/>
          <w:color w:val="5A6478"/>
          <w:sz w:val="17"/>
          <w:szCs w:val="17"/>
          <w:rtl/>
        </w:rPr>
        <w:t xml:space="preserve">** عن الفترة من 1 يناير 2025م إلى 30 يونيو 2025م متضمنة التوزيعات النقدية بنسبة </w:t>
      </w:r>
      <w:r>
        <w:rPr>
          <w:rFonts w:ascii="Arial" w:hAnsi="Arial" w:cs="Arial" w:eastAsia="Arial"/>
          <w:color w:val="5A6478"/>
          <w:sz w:val="17"/>
          <w:szCs w:val="17"/>
        </w:rPr>
        <w:t>‎2.30%‎</w:t>
      </w:r>
      <w:r>
        <w:rPr>
          <w:rFonts w:ascii="Arial" w:hAnsi="Arial" w:cs="Arial" w:eastAsia="Arial"/>
          <w:color w:val="5A6478"/>
          <w:sz w:val="17"/>
          <w:szCs w:val="17"/>
          <w:rtl/>
        </w:rPr>
        <w:t>.</w:t>
      </w:r>
      <w:r>
        <w:br/>
      </w:r>
      <w:r>
        <w:rPr>
          <w:rFonts w:ascii="Arial" w:hAnsi="Arial" w:cs="Arial" w:eastAsia="Arial"/>
          <w:color w:val="5A6478"/>
          <w:sz w:val="17"/>
          <w:szCs w:val="17"/>
          <w:rtl/>
        </w:rPr>
        <w:t xml:space="preserve">*** عن الفترة من 1 يوليو 2024م إلى 30 يونيو 2025م متضمنة توزيعات نقدية بنسبة </w:t>
      </w:r>
      <w:r>
        <w:rPr>
          <w:rFonts w:ascii="Arial" w:hAnsi="Arial" w:cs="Arial" w:eastAsia="Arial"/>
          <w:color w:val="5A6478"/>
          <w:sz w:val="17"/>
          <w:szCs w:val="17"/>
        </w:rPr>
        <w:t>‎5.10%‎</w:t>
      </w:r>
      <w:r>
        <w:rPr>
          <w:rFonts w:ascii="Arial" w:hAnsi="Arial" w:cs="Arial" w:eastAsia="Arial"/>
          <w:color w:val="5A6478"/>
          <w:sz w:val="17"/>
          <w:szCs w:val="17"/>
          <w:rtl/>
        </w:rPr>
        <w:t>.</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2" name="Picture 9049"/>
            <wp:cNvGraphicFramePr>
              <a:graphicFrameLocks noChangeAspect="1"/>
            </wp:cNvGraphicFramePr>
            <a:graphic>
              <a:graphicData uri="http://schemas.openxmlformats.org/drawingml/2006/picture">
                <pic:pic>
                  <pic:nvPicPr>
                    <pic:cNvPr id="0" name="ico_47bcec02f49b9d1a764a57a70a5c8310.png"/>
                    <pic:cNvPicPr/>
                  </pic:nvPicPr>
                  <pic:blipFill>
                    <a:blip r:embed="rId22"/>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الأداء والمخاطر</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1663"/>
        <w:gridCol w:w="1663"/>
        <w:gridCol w:w="1663"/>
        <w:gridCol w:w="1663"/>
        <w:gridCol w:w="1663"/>
        <w:gridCol w:w="1663"/>
      </w:tblGrid>
      <w:tr>
        <w:trPr>
          <w:tblHeader/>
        </w:trPr>
        <w:tc>
          <w:tcPr>
            <w:tcW w:type="dxa" w:w="1663"/>
            <w:shd w:val="clear" w:color="auto" w:fill="12284B"/>
          </w:tcPr>
          <w:p>
            <w:pPr>
              <w:bidi w:val="1"/>
              <w:spacing w:before="0" w:after="0" w:line="264" w:lineRule="auto"/>
            </w:pPr>
            <w:r>
              <w:rPr>
                <w:rFonts w:ascii="Arial" w:hAnsi="Arial" w:cs="Arial" w:eastAsia="Arial"/>
                <w:b/>
                <w:bCs/>
                <w:color w:val="FFFFFF"/>
                <w:sz w:val="17"/>
                <w:szCs w:val="17"/>
                <w:rtl/>
              </w:rPr>
              <w:t>معايير الأداء والمخاطر</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3 أشهر 1</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سنة حتى تاريخه 2</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سنة واحدة 3</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3 سنوات</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5 سنوات</w:t>
            </w:r>
          </w:p>
        </w:tc>
      </w:tr>
      <w:tr>
        <w:tc>
          <w:tcPr>
            <w:tcW w:type="dxa" w:w="1663"/>
          </w:tcPr>
          <w:p>
            <w:pPr>
              <w:bidi w:val="1"/>
              <w:spacing w:before="0" w:after="0" w:line="264" w:lineRule="auto"/>
            </w:pPr>
            <w:r>
              <w:rPr>
                <w:rFonts w:ascii="Arial" w:hAnsi="Arial" w:cs="Arial" w:eastAsia="Arial"/>
                <w:color w:val="0E1E3A"/>
                <w:sz w:val="17"/>
                <w:szCs w:val="17"/>
                <w:rtl/>
              </w:rPr>
              <w:t>الانحراف المعياري 4</w:t>
            </w:r>
          </w:p>
        </w:tc>
        <w:tc>
          <w:tcPr>
            <w:tcW w:type="dxa" w:w="1663"/>
          </w:tcPr>
          <w:p>
            <w:pPr>
              <w:bidi w:val="1"/>
              <w:spacing w:before="0" w:after="0" w:line="264" w:lineRule="auto"/>
            </w:pPr>
            <w:r>
              <w:rPr>
                <w:rFonts w:ascii="Arial" w:hAnsi="Arial" w:cs="Arial" w:eastAsia="Arial"/>
                <w:color w:val="0E1E3A"/>
                <w:sz w:val="17"/>
                <w:szCs w:val="17"/>
                <w:rtl/>
              </w:rPr>
              <w:t>7.89</w:t>
            </w:r>
          </w:p>
        </w:tc>
        <w:tc>
          <w:tcPr>
            <w:tcW w:type="dxa" w:w="1663"/>
          </w:tcPr>
          <w:p>
            <w:pPr>
              <w:bidi w:val="1"/>
              <w:spacing w:before="0" w:after="0" w:line="264" w:lineRule="auto"/>
            </w:pPr>
            <w:r>
              <w:rPr>
                <w:rFonts w:ascii="Arial" w:hAnsi="Arial" w:cs="Arial" w:eastAsia="Arial"/>
                <w:color w:val="0E1E3A"/>
                <w:sz w:val="17"/>
                <w:szCs w:val="17"/>
                <w:rtl/>
              </w:rPr>
              <w:t>11.04</w:t>
            </w:r>
          </w:p>
        </w:tc>
        <w:tc>
          <w:tcPr>
            <w:tcW w:type="dxa" w:w="1663"/>
          </w:tcPr>
          <w:p>
            <w:pPr>
              <w:bidi w:val="1"/>
              <w:spacing w:before="0" w:after="0" w:line="264" w:lineRule="auto"/>
            </w:pPr>
            <w:r>
              <w:rPr>
                <w:rFonts w:ascii="Arial" w:hAnsi="Arial" w:cs="Arial" w:eastAsia="Arial"/>
                <w:color w:val="0E1E3A"/>
                <w:sz w:val="17"/>
                <w:szCs w:val="17"/>
                <w:rtl/>
              </w:rPr>
              <w:t>15.46</w:t>
            </w:r>
          </w:p>
        </w:tc>
        <w:tc>
          <w:tcPr>
            <w:tcW w:type="dxa" w:w="1663"/>
          </w:tcPr>
          <w:p>
            <w:pPr>
              <w:bidi w:val="1"/>
              <w:spacing w:before="0" w:after="0" w:line="264" w:lineRule="auto"/>
            </w:pPr>
            <w:r>
              <w:rPr>
                <w:rFonts w:ascii="Arial" w:hAnsi="Arial" w:cs="Arial" w:eastAsia="Arial"/>
                <w:color w:val="0E1E3A"/>
                <w:sz w:val="17"/>
                <w:szCs w:val="17"/>
                <w:rtl/>
              </w:rPr>
              <w:t>15.73</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مؤشر شارب 5</w:t>
            </w:r>
          </w:p>
        </w:tc>
        <w:tc>
          <w:tcPr>
            <w:tcW w:type="dxa" w:w="1663"/>
          </w:tcPr>
          <w:p>
            <w:pPr>
              <w:bidi w:val="1"/>
              <w:spacing w:before="0" w:after="0" w:line="264" w:lineRule="auto"/>
            </w:pPr>
            <w:r>
              <w:rPr>
                <w:rFonts w:ascii="Arial" w:hAnsi="Arial" w:cs="Arial" w:eastAsia="Arial"/>
                <w:color w:val="0E1E3A"/>
                <w:sz w:val="17"/>
                <w:szCs w:val="17"/>
                <w:rtl/>
              </w:rPr>
              <w:t>-1.50</w:t>
            </w:r>
          </w:p>
        </w:tc>
        <w:tc>
          <w:tcPr>
            <w:tcW w:type="dxa" w:w="1663"/>
          </w:tcPr>
          <w:p>
            <w:pPr>
              <w:bidi w:val="1"/>
              <w:spacing w:before="0" w:after="0" w:line="264" w:lineRule="auto"/>
            </w:pPr>
            <w:r>
              <w:rPr>
                <w:rFonts w:ascii="Arial" w:hAnsi="Arial" w:cs="Arial" w:eastAsia="Arial"/>
                <w:color w:val="0E1E3A"/>
                <w:sz w:val="17"/>
                <w:szCs w:val="17"/>
                <w:rtl/>
              </w:rPr>
              <w:t>-1.60</w:t>
            </w:r>
          </w:p>
        </w:tc>
        <w:tc>
          <w:tcPr>
            <w:tcW w:type="dxa" w:w="1663"/>
          </w:tcPr>
          <w:p>
            <w:pPr>
              <w:bidi w:val="1"/>
              <w:spacing w:before="0" w:after="0" w:line="264" w:lineRule="auto"/>
            </w:pPr>
            <w:r>
              <w:rPr>
                <w:rFonts w:ascii="Arial" w:hAnsi="Arial" w:cs="Arial" w:eastAsia="Arial"/>
                <w:color w:val="0E1E3A"/>
                <w:sz w:val="17"/>
                <w:szCs w:val="17"/>
                <w:rtl/>
              </w:rPr>
              <w:t>-0.70</w:t>
            </w:r>
          </w:p>
        </w:tc>
        <w:tc>
          <w:tcPr>
            <w:tcW w:type="dxa" w:w="1663"/>
          </w:tcPr>
          <w:p>
            <w:pPr>
              <w:bidi w:val="1"/>
              <w:spacing w:before="0" w:after="0" w:line="264" w:lineRule="auto"/>
            </w:pPr>
            <w:r>
              <w:rPr>
                <w:rFonts w:ascii="Arial" w:hAnsi="Arial" w:cs="Arial" w:eastAsia="Arial"/>
                <w:color w:val="0E1E3A"/>
                <w:sz w:val="17"/>
                <w:szCs w:val="17"/>
                <w:rtl/>
              </w:rPr>
              <w:t>-0.19</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خطأ التتبع 6</w:t>
            </w:r>
          </w:p>
        </w:tc>
        <w:tc>
          <w:tcPr>
            <w:tcW w:type="dxa" w:w="1663"/>
          </w:tcPr>
          <w:p>
            <w:pPr>
              <w:bidi w:val="1"/>
              <w:spacing w:before="0" w:after="0" w:line="264" w:lineRule="auto"/>
            </w:pPr>
            <w:r>
              <w:rPr>
                <w:rFonts w:ascii="Arial" w:hAnsi="Arial" w:cs="Arial" w:eastAsia="Arial"/>
                <w:color w:val="0E1E3A"/>
                <w:sz w:val="17"/>
                <w:szCs w:val="17"/>
                <w:rtl/>
              </w:rPr>
              <w:t>7.96</w:t>
            </w:r>
          </w:p>
        </w:tc>
        <w:tc>
          <w:tcPr>
            <w:tcW w:type="dxa" w:w="1663"/>
          </w:tcPr>
          <w:p>
            <w:pPr>
              <w:bidi w:val="1"/>
              <w:spacing w:before="0" w:after="0" w:line="264" w:lineRule="auto"/>
            </w:pPr>
            <w:r>
              <w:rPr>
                <w:rFonts w:ascii="Arial" w:hAnsi="Arial" w:cs="Arial" w:eastAsia="Arial"/>
                <w:color w:val="0E1E3A"/>
                <w:sz w:val="17"/>
                <w:szCs w:val="17"/>
                <w:rtl/>
              </w:rPr>
              <w:t>11.16</w:t>
            </w:r>
          </w:p>
        </w:tc>
        <w:tc>
          <w:tcPr>
            <w:tcW w:type="dxa" w:w="1663"/>
          </w:tcPr>
          <w:p>
            <w:pPr>
              <w:bidi w:val="1"/>
              <w:spacing w:before="0" w:after="0" w:line="264" w:lineRule="auto"/>
            </w:pPr>
            <w:r>
              <w:rPr>
                <w:rFonts w:ascii="Arial" w:hAnsi="Arial" w:cs="Arial" w:eastAsia="Arial"/>
                <w:color w:val="0E1E3A"/>
                <w:sz w:val="17"/>
                <w:szCs w:val="17"/>
                <w:rtl/>
              </w:rPr>
              <w:t>15.51</w:t>
            </w:r>
          </w:p>
        </w:tc>
        <w:tc>
          <w:tcPr>
            <w:tcW w:type="dxa" w:w="1663"/>
          </w:tcPr>
          <w:p>
            <w:pPr>
              <w:bidi w:val="1"/>
              <w:spacing w:before="0" w:after="0" w:line="264" w:lineRule="auto"/>
            </w:pPr>
            <w:r>
              <w:rPr>
                <w:rFonts w:ascii="Arial" w:hAnsi="Arial" w:cs="Arial" w:eastAsia="Arial"/>
                <w:color w:val="0E1E3A"/>
                <w:sz w:val="17"/>
                <w:szCs w:val="17"/>
                <w:rtl/>
              </w:rPr>
              <w:t>15.79</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بيتا 7</w:t>
            </w:r>
          </w:p>
        </w:tc>
        <w:tc>
          <w:tcPr>
            <w:tcW w:type="dxa" w:w="1663"/>
          </w:tcPr>
          <w:p>
            <w:pPr>
              <w:bidi w:val="1"/>
              <w:spacing w:before="0" w:after="0" w:line="264" w:lineRule="auto"/>
            </w:pPr>
            <w:r>
              <w:rPr>
                <w:rFonts w:ascii="Arial" w:hAnsi="Arial" w:cs="Arial" w:eastAsia="Arial"/>
                <w:color w:val="0E1E3A"/>
                <w:sz w:val="17"/>
                <w:szCs w:val="17"/>
                <w:rtl/>
              </w:rPr>
              <w:t>-0.01</w:t>
            </w:r>
          </w:p>
        </w:tc>
        <w:tc>
          <w:tcPr>
            <w:tcW w:type="dxa" w:w="1663"/>
          </w:tcPr>
          <w:p>
            <w:pPr>
              <w:bidi w:val="1"/>
              <w:spacing w:before="0" w:after="0" w:line="264" w:lineRule="auto"/>
            </w:pPr>
            <w:r>
              <w:rPr>
                <w:rFonts w:ascii="Arial" w:hAnsi="Arial" w:cs="Arial" w:eastAsia="Arial"/>
                <w:color w:val="0E1E3A"/>
                <w:sz w:val="17"/>
                <w:szCs w:val="17"/>
                <w:rtl/>
              </w:rPr>
              <w:t>-0.03</w:t>
            </w:r>
          </w:p>
        </w:tc>
        <w:tc>
          <w:tcPr>
            <w:tcW w:type="dxa" w:w="1663"/>
          </w:tcPr>
          <w:p>
            <w:pPr>
              <w:bidi w:val="1"/>
              <w:spacing w:before="0" w:after="0" w:line="264" w:lineRule="auto"/>
            </w:pPr>
            <w:r>
              <w:rPr>
                <w:rFonts w:ascii="Arial" w:hAnsi="Arial" w:cs="Arial" w:eastAsia="Arial"/>
                <w:color w:val="0E1E3A"/>
                <w:sz w:val="17"/>
                <w:szCs w:val="17"/>
                <w:rtl/>
              </w:rPr>
              <w:t>-0.03</w:t>
            </w:r>
          </w:p>
        </w:tc>
        <w:tc>
          <w:tcPr>
            <w:tcW w:type="dxa" w:w="1663"/>
          </w:tcPr>
          <w:p>
            <w:pPr>
              <w:bidi w:val="1"/>
              <w:spacing w:before="0" w:after="0" w:line="264" w:lineRule="auto"/>
            </w:pPr>
            <w:r>
              <w:rPr>
                <w:rFonts w:ascii="Arial" w:hAnsi="Arial" w:cs="Arial" w:eastAsia="Arial"/>
                <w:color w:val="0E1E3A"/>
                <w:sz w:val="17"/>
                <w:szCs w:val="17"/>
                <w:rtl/>
              </w:rPr>
              <w:t>-0.03</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ألفا 8</w:t>
            </w:r>
          </w:p>
        </w:tc>
        <w:tc>
          <w:tcPr>
            <w:tcW w:type="dxa" w:w="1663"/>
          </w:tcPr>
          <w:p>
            <w:pPr>
              <w:bidi w:val="1"/>
              <w:spacing w:before="0" w:after="0" w:line="264" w:lineRule="auto"/>
            </w:pPr>
            <w:r>
              <w:rPr>
                <w:rFonts w:ascii="Arial" w:hAnsi="Arial" w:cs="Arial" w:eastAsia="Arial"/>
                <w:color w:val="0E1E3A"/>
                <w:sz w:val="17"/>
                <w:szCs w:val="17"/>
                <w:rtl/>
              </w:rPr>
              <w:t>-0.15</w:t>
            </w:r>
          </w:p>
        </w:tc>
        <w:tc>
          <w:tcPr>
            <w:tcW w:type="dxa" w:w="1663"/>
          </w:tcPr>
          <w:p>
            <w:pPr>
              <w:bidi w:val="1"/>
              <w:spacing w:before="0" w:after="0" w:line="264" w:lineRule="auto"/>
            </w:pPr>
            <w:r>
              <w:rPr>
                <w:rFonts w:ascii="Arial" w:hAnsi="Arial" w:cs="Arial" w:eastAsia="Arial"/>
                <w:color w:val="0E1E3A"/>
                <w:sz w:val="17"/>
                <w:szCs w:val="17"/>
                <w:rtl/>
              </w:rPr>
              <w:t>-0.15</w:t>
            </w:r>
          </w:p>
        </w:tc>
        <w:tc>
          <w:tcPr>
            <w:tcW w:type="dxa" w:w="1663"/>
          </w:tcPr>
          <w:p>
            <w:pPr>
              <w:bidi w:val="1"/>
              <w:spacing w:before="0" w:after="0" w:line="264" w:lineRule="auto"/>
            </w:pPr>
            <w:r>
              <w:rPr>
                <w:rFonts w:ascii="Arial" w:hAnsi="Arial" w:cs="Arial" w:eastAsia="Arial"/>
                <w:color w:val="0E1E3A"/>
                <w:sz w:val="17"/>
                <w:szCs w:val="17"/>
                <w:rtl/>
              </w:rPr>
              <w:t>-0.14</w:t>
            </w:r>
          </w:p>
        </w:tc>
        <w:tc>
          <w:tcPr>
            <w:tcW w:type="dxa" w:w="1663"/>
          </w:tcPr>
          <w:p>
            <w:pPr>
              <w:bidi w:val="1"/>
              <w:spacing w:before="0" w:after="0" w:line="264" w:lineRule="auto"/>
            </w:pPr>
            <w:r>
              <w:rPr>
                <w:rFonts w:ascii="Arial" w:hAnsi="Arial" w:cs="Arial" w:eastAsia="Arial"/>
                <w:color w:val="0E1E3A"/>
                <w:sz w:val="17"/>
                <w:szCs w:val="17"/>
                <w:rtl/>
              </w:rPr>
              <w:t>-0.07</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مؤشر المعلومات 9</w:t>
            </w:r>
          </w:p>
        </w:tc>
        <w:tc>
          <w:tcPr>
            <w:tcW w:type="dxa" w:w="1663"/>
          </w:tcPr>
          <w:p>
            <w:pPr>
              <w:bidi w:val="1"/>
              <w:spacing w:before="0" w:after="0" w:line="264" w:lineRule="auto"/>
            </w:pPr>
            <w:r>
              <w:rPr>
                <w:rFonts w:ascii="Arial" w:hAnsi="Arial" w:cs="Arial" w:eastAsia="Arial"/>
                <w:color w:val="0E1E3A"/>
                <w:sz w:val="17"/>
                <w:szCs w:val="17"/>
              </w:rPr>
              <w:t>‎-1.83%‎</w:t>
            </w:r>
          </w:p>
        </w:tc>
        <w:tc>
          <w:tcPr>
            <w:tcW w:type="dxa" w:w="1663"/>
          </w:tcPr>
          <w:p>
            <w:pPr>
              <w:bidi w:val="1"/>
              <w:spacing w:before="0" w:after="0" w:line="264" w:lineRule="auto"/>
            </w:pPr>
            <w:r>
              <w:rPr>
                <w:rFonts w:ascii="Arial" w:hAnsi="Arial" w:cs="Arial" w:eastAsia="Arial"/>
                <w:color w:val="0E1E3A"/>
                <w:sz w:val="17"/>
                <w:szCs w:val="17"/>
              </w:rPr>
              <w:t>‎-1.30%‎</w:t>
            </w:r>
          </w:p>
        </w:tc>
        <w:tc>
          <w:tcPr>
            <w:tcW w:type="dxa" w:w="1663"/>
          </w:tcPr>
          <w:p>
            <w:pPr>
              <w:bidi w:val="1"/>
              <w:spacing w:before="0" w:after="0" w:line="264" w:lineRule="auto"/>
            </w:pPr>
            <w:r>
              <w:rPr>
                <w:rFonts w:ascii="Arial" w:hAnsi="Arial" w:cs="Arial" w:eastAsia="Arial"/>
                <w:color w:val="0E1E3A"/>
                <w:sz w:val="17"/>
                <w:szCs w:val="17"/>
              </w:rPr>
              <w:t>‎-0.93%‎</w:t>
            </w:r>
          </w:p>
        </w:tc>
        <w:tc>
          <w:tcPr>
            <w:tcW w:type="dxa" w:w="1663"/>
          </w:tcPr>
          <w:p>
            <w:pPr>
              <w:bidi w:val="1"/>
              <w:spacing w:before="0" w:after="0" w:line="264" w:lineRule="auto"/>
            </w:pPr>
            <w:r>
              <w:rPr>
                <w:rFonts w:ascii="Arial" w:hAnsi="Arial" w:cs="Arial" w:eastAsia="Arial"/>
                <w:color w:val="0E1E3A"/>
                <w:sz w:val="17"/>
                <w:szCs w:val="17"/>
              </w:rPr>
              <w:t>‎-0.44%‎</w:t>
            </w:r>
          </w:p>
        </w:tc>
        <w:tc>
          <w:tcPr>
            <w:tcW w:type="dxa" w:w="1663"/>
          </w:tcPr>
          <w:p>
            <w:pPr>
              <w:bidi w:val="1"/>
              <w:spacing w:before="0" w:after="0" w:line="264" w:lineRule="auto"/>
            </w:pPr>
            <w:r>
              <w:rPr>
                <w:rFonts w:ascii="Arial" w:hAnsi="Arial" w:cs="Arial" w:eastAsia="Arial"/>
                <w:color w:val="0E1E3A"/>
                <w:sz w:val="17"/>
                <w:szCs w:val="17"/>
                <w:rtl/>
              </w:rPr>
              <w:t>لا ينطبق</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1. عن الفترة من 1 ابريل 2025م إلى 30 يونيو 2025م</w:t>
      </w:r>
      <w:r>
        <w:br/>
      </w:r>
      <w:r>
        <w:rPr>
          <w:rFonts w:ascii="Arial" w:hAnsi="Arial" w:cs="Arial" w:eastAsia="Arial"/>
          <w:color w:val="5A6478"/>
          <w:sz w:val="17"/>
          <w:szCs w:val="17"/>
          <w:rtl/>
        </w:rPr>
        <w:t>2. عن الفترة من 1 يناير 2025م إلى 30 يونيو 2025م</w:t>
      </w:r>
      <w:r>
        <w:br/>
      </w:r>
      <w:r>
        <w:rPr>
          <w:rFonts w:ascii="Arial" w:hAnsi="Arial" w:cs="Arial" w:eastAsia="Arial"/>
          <w:color w:val="5A6478"/>
          <w:sz w:val="17"/>
          <w:szCs w:val="17"/>
          <w:rtl/>
        </w:rPr>
        <w:t>3. عن الفترة من 1 يوليو 2024م إلى 30 يونيو 2025م</w:t>
      </w:r>
      <w:r>
        <w:br/>
      </w:r>
      <w:r>
        <w:rPr>
          <w:rFonts w:ascii="Arial" w:hAnsi="Arial" w:cs="Arial" w:eastAsia="Arial"/>
          <w:color w:val="5A6478"/>
          <w:sz w:val="17"/>
          <w:szCs w:val="17"/>
          <w:rtl/>
        </w:rPr>
        <w:t>4. الانحراف المعياري هو مقياس للمخاطر ويتم حسابه على أنه التذبذب بين العوائد على مدى فترة زمنية. كلما انخفض التقلب، كانت مجموعة العوائد أكثر تجانسا.</w:t>
      </w:r>
      <w:r>
        <w:br/>
      </w:r>
      <w:r>
        <w:rPr>
          <w:rFonts w:ascii="Arial" w:hAnsi="Arial" w:cs="Arial" w:eastAsia="Arial"/>
          <w:color w:val="5A6478"/>
          <w:sz w:val="17"/>
          <w:szCs w:val="17"/>
          <w:rtl/>
        </w:rPr>
        <w:t>5. مؤشر شارب هو مقياس أداء معدل المخاطر ويتم حسابه على أنه الفرق كعائد فائض لمدير الصندوق على المعدل الخالي من المخاطر، مقسوما على الانحراف المعياري. كلما زاد معدل شارب للمحفظة، كلما كان أداؤه حسب المخاطر أفضل.</w:t>
      </w:r>
      <w:r>
        <w:br/>
      </w:r>
      <w:r>
        <w:rPr>
          <w:rFonts w:ascii="Arial" w:hAnsi="Arial" w:cs="Arial" w:eastAsia="Arial"/>
          <w:color w:val="5A6478"/>
          <w:sz w:val="17"/>
          <w:szCs w:val="17"/>
          <w:rtl/>
        </w:rPr>
        <w:t>6. خطأ التتبع هو مقياس للمخاطر ويتم حسابه على أنه الانحراف المعياري بين عائد مدير الصندوق وعائد المؤشر. كلما انخفض خطأ التتبع، كلما انحرف مدير الصندوق عن المؤشر.</w:t>
      </w:r>
      <w:r>
        <w:br/>
      </w:r>
      <w:r>
        <w:rPr>
          <w:rFonts w:ascii="Arial" w:hAnsi="Arial" w:cs="Arial" w:eastAsia="Arial"/>
          <w:color w:val="5A6478"/>
          <w:sz w:val="17"/>
          <w:szCs w:val="17"/>
          <w:rtl/>
        </w:rPr>
        <w:t>7. بيتا هو مقياس لمتوسط الحساسية التاريخية لعوائد الصندوق مقارنة بعوائد السوق، ويتم احتسابها عن طريق حساب تغاير سعر الوحدة ومؤشر السوق على تباين مؤشر السوق.</w:t>
      </w:r>
      <w:r>
        <w:br/>
      </w:r>
      <w:r>
        <w:rPr>
          <w:rFonts w:ascii="Arial" w:hAnsi="Arial" w:cs="Arial" w:eastAsia="Arial"/>
          <w:color w:val="5A6478"/>
          <w:sz w:val="17"/>
          <w:szCs w:val="17"/>
          <w:rtl/>
        </w:rPr>
        <w:t>8. ألفا يقيس أي تفوق حققه أداء الصندوق مقارنة بأداء المؤشر المرتبط به.</w:t>
      </w:r>
      <w:r>
        <w:br/>
      </w:r>
      <w:r>
        <w:rPr>
          <w:rFonts w:ascii="Arial" w:hAnsi="Arial" w:cs="Arial" w:eastAsia="Arial"/>
          <w:color w:val="5A6478"/>
          <w:sz w:val="17"/>
          <w:szCs w:val="17"/>
          <w:rtl/>
        </w:rPr>
        <w:t>9. مؤشر المعلومات هو عبارة عن مقياس أداء معدل المخاطر، ويتم حسابه على أنه العائد النشط لمدير الصندوق مقسوما على خطأ التتبع الخاص به. كلما ارتفع معدل المعلومات، كلما ازدادت قدرة مدير الصندوق على تحقيق عوائد زائدة لكل وحدة من المخاطر الزائدة.</w:t>
      </w:r>
      <w:r>
        <w:br/>
      </w:r>
      <w:r>
        <w:rPr>
          <w:rFonts w:ascii="Arial" w:hAnsi="Arial" w:cs="Arial" w:eastAsia="Arial"/>
          <w:color w:val="5A6478"/>
          <w:sz w:val="17"/>
          <w:szCs w:val="17"/>
          <w:rtl/>
        </w:rPr>
        <w:t>تم احتساب معايير الأداء والمخاطر بناء على اعلى أسعار تداول للوحدة في السوق.</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3" name="Picture 9050"/>
            <wp:cNvGraphicFramePr>
              <a:graphicFrameLocks noChangeAspect="1"/>
            </wp:cNvGraphicFramePr>
            <a:graphic>
              <a:graphicData uri="http://schemas.openxmlformats.org/drawingml/2006/picture">
                <pic:pic>
                  <pic:nvPicPr>
                    <pic:cNvPr id="0" name="ico_c788ceab6c6867ef93d8dd6b26beef99.png"/>
                    <pic:cNvPicPr/>
                  </pic:nvPicPr>
                  <pic:blipFill>
                    <a:blip r:embed="rId23"/>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مستجدات الصندوق وأية تغيرات أساسية أو غير أساسية تؤثر على عمل الصندوق</w:t>
      </w:r>
    </w:p>
    <w:p>
      <w:pPr>
        <w:bidi w:val="1"/>
        <w:spacing w:before="0" w:after="80" w:line="312" w:lineRule="auto"/>
      </w:pPr>
      <w:r>
        <w:rPr>
          <w:rFonts w:ascii="Arial" w:hAnsi="Arial" w:cs="Arial" w:eastAsia="Arial"/>
          <w:color w:val="0E1E3A"/>
          <w:sz w:val="20"/>
          <w:szCs w:val="20"/>
          <w:rtl/>
        </w:rPr>
        <w:t xml:space="preserve">يود مدير الصندوق التنويه إلى أن استثمار الصندوق في “صندوق الدخل بريستيج بريميوم الزراعي” قد أثر سلبيا على صافي قيمة أصول الصندوق بنسبة </w:t>
      </w:r>
      <w:r>
        <w:rPr>
          <w:rFonts w:ascii="Arial" w:hAnsi="Arial" w:cs="Arial" w:eastAsia="Arial"/>
          <w:color w:val="0E1E3A"/>
          <w:sz w:val="20"/>
          <w:szCs w:val="20"/>
        </w:rPr>
        <w:t>‎6.14%‎</w:t>
      </w:r>
      <w:r>
        <w:rPr>
          <w:rFonts w:ascii="Arial" w:hAnsi="Arial" w:cs="Arial" w:eastAsia="Arial"/>
          <w:color w:val="0E1E3A"/>
          <w:sz w:val="20"/>
          <w:szCs w:val="20"/>
          <w:rtl/>
        </w:rPr>
        <w:t xml:space="preserve"> خلال الربع الثاني من العام 2025م، وذلك بناء على ما أظهره أحدث تقييم لصندوق الدخل بريستيج بريميوم الزراعي والذي تم بتاريخ 27 يونيو 2025م، وتم عكسه على آخر تقييم لصندوق "الخبير للدخل المتنوع المتداول".</w:t>
      </w:r>
    </w:p>
    <w:p>
      <w:pPr>
        <w:bidi w:val="1"/>
        <w:spacing w:before="0" w:after="80" w:line="312" w:lineRule="auto"/>
      </w:pPr>
      <w:r>
        <w:rPr>
          <w:rFonts w:ascii="Arial" w:hAnsi="Arial" w:cs="Arial" w:eastAsia="Arial"/>
          <w:color w:val="0E1E3A"/>
          <w:sz w:val="20"/>
          <w:szCs w:val="20"/>
          <w:rtl/>
        </w:rPr>
        <w:t>كذلك يشير مدير الصندوق أيضا إلى أن عملية التخارج من الاستثمار تنطوي على عدة مخاطر، تشمل:</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حالات التأخير المحتملة في المسار الزمني للتخارج أو تحقيق عوائد أقل من المتوقع.</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انخفاض قيمة الاستثمار في حالة بيع الأصول المستثمر بها بأقل من قيمتها الدفترية.</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المخاطرة في عدم استرداد كامل رأس المال المستثمر به، وذلك إذا واجه الصندوق بعد تصفيته التزامات أو نفقات إضافية غير متوقعة.</w:t>
      </w:r>
    </w:p>
    <w:p>
      <w:pPr>
        <w:bidi w:val="1"/>
        <w:spacing w:before="0" w:after="80" w:line="312" w:lineRule="auto"/>
      </w:pPr>
      <w:r>
        <w:rPr>
          <w:rFonts w:ascii="Arial" w:hAnsi="Arial" w:cs="Arial" w:eastAsia="Arial"/>
          <w:color w:val="0E1E3A"/>
          <w:sz w:val="20"/>
          <w:szCs w:val="20"/>
          <w:rtl/>
        </w:rPr>
        <w:t>وعليه يواصل مدير الصندوق مراقبة عملية التخارج عن كثب، وسوف يبقي مالكي الوحدات على اطلاع بأي تطورات جوهرية تطرأ في حينه.</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4" name="Picture 9051"/>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نظرة على قطاع الإجارة والتمويل التجاري والصكوك</w:t>
      </w:r>
    </w:p>
    <w:p>
      <w:pPr>
        <w:pStyle w:val="Heading3"/>
        <w:keepNext/>
        <w:bidi w:val="1"/>
        <w:spacing w:before="160" w:after="100" w:line="300" w:lineRule="auto"/>
      </w:pPr>
      <w:r>
        <w:rPr>
          <w:rFonts w:ascii="Arial" w:hAnsi="Arial" w:cs="Arial" w:eastAsia="Arial"/>
          <w:b/>
          <w:bCs/>
          <w:color w:val="12284B"/>
          <w:sz w:val="22"/>
          <w:szCs w:val="22"/>
          <w:rtl/>
        </w:rPr>
        <w:t>نظرة على قطاع الإجارة:</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عاود مؤشر ثقة الأعمال الشهري لشهر يونيو 2025م (MCI-EFI) والصادر عن مؤسسة تأجير وتمويل المعدات (ELFF) ارتفاعه ليصل إلى 58.2، ما يعكس استمرار التعافي القوي بعد المستويات المنخفضة التي وصل إليها في شهري أبريل ومايو، ليبرز بذلك تجدد التفاؤل بقطاع تمويل المعدات الذي يقدر حجمه بنحو 1.3 تريليون دولار أمريكي. وقد نتج الارتفاع في المؤشر عن تحسن القدرة على الحصول على رؤوس الأموال، وتحسن التوقعات المستقبلية للتوظيف، وتوقعات انتعاش حجم الطلب، خاصة في ظل التخفيف من حدة زيادة التعرفات الجمركية.</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كما تتوقع رابطة تأجير وتمويل المعدات (ELFA) أن القطاع في وضع جيد لتحقيق نمو، حتى في حال تباطؤ وتيرة خفض أسعار الفائدة من قبل الاحتياطي الفيدرالي.</w:t>
      </w:r>
    </w:p>
    <w:p>
      <w:pPr>
        <w:pStyle w:val="Heading3"/>
        <w:keepNext/>
        <w:bidi w:val="1"/>
        <w:spacing w:before="160" w:after="100" w:line="300" w:lineRule="auto"/>
      </w:pPr>
      <w:r>
        <w:rPr>
          <w:rFonts w:ascii="Arial" w:hAnsi="Arial" w:cs="Arial" w:eastAsia="Arial"/>
          <w:b/>
          <w:bCs/>
          <w:color w:val="12284B"/>
          <w:sz w:val="22"/>
          <w:szCs w:val="22"/>
          <w:rtl/>
        </w:rPr>
        <w:t>نظرة على قطاع التمويل التجاري:</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 xml:space="preserve">وفقا لآخر تحديث للتجارة العالمية الصادر عن مؤتمر الأمم المتحدة للتجارة والتنمية (UNCTAD)، نمت التجارة العالمية بمعدل يقدر بنسبة </w:t>
      </w:r>
      <w:r>
        <w:rPr>
          <w:rFonts w:ascii="Arial" w:hAnsi="Arial" w:cs="Arial" w:eastAsia="Arial"/>
          <w:color w:val="0E1E3A"/>
          <w:sz w:val="20"/>
          <w:szCs w:val="20"/>
        </w:rPr>
        <w:t>‎1.5%‎</w:t>
      </w:r>
      <w:r>
        <w:rPr>
          <w:rFonts w:ascii="Arial" w:hAnsi="Arial" w:cs="Arial" w:eastAsia="Arial"/>
          <w:color w:val="0E1E3A"/>
          <w:sz w:val="20"/>
          <w:szCs w:val="20"/>
          <w:rtl/>
        </w:rPr>
        <w:t xml:space="preserve"> في الربع الأول من العام 2025م، وتظهر التوقعات نموا بنسبة </w:t>
      </w:r>
      <w:r>
        <w:rPr>
          <w:rFonts w:ascii="Arial" w:hAnsi="Arial" w:cs="Arial" w:eastAsia="Arial"/>
          <w:color w:val="0E1E3A"/>
          <w:sz w:val="20"/>
          <w:szCs w:val="20"/>
        </w:rPr>
        <w:t>‎2%‎</w:t>
      </w:r>
      <w:r>
        <w:rPr>
          <w:rFonts w:ascii="Arial" w:hAnsi="Arial" w:cs="Arial" w:eastAsia="Arial"/>
          <w:color w:val="0E1E3A"/>
          <w:sz w:val="20"/>
          <w:szCs w:val="20"/>
          <w:rtl/>
        </w:rPr>
        <w:t xml:space="preserve"> في الربع الثاني، مدفوعة بأسباب أهمها نمو الاقتصادات النامية.</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على الرغم من التحديات الجيوسياسية والاقتصادية، يؤكد تقرير سجل التجارة لعام 2024م الصادر عن الغرفة التجارية الدولية (ICC) على متانة أدوات التمويل التجاري، حيث ظلت معدلات التعثر والتخلف عن السداد منخفضة في جميع المناطق وفئات الأصول. ويؤكد التقرير أن تمويل التجارة وسلاسل الإمداد والصادرات ما زال يصَّنف ضمن فئة القطاعات منخفضة المخاطر.</w:t>
      </w:r>
    </w:p>
    <w:p>
      <w:pPr>
        <w:pStyle w:val="Heading3"/>
        <w:keepNext/>
        <w:bidi w:val="1"/>
        <w:spacing w:before="160" w:after="100" w:line="300" w:lineRule="auto"/>
      </w:pPr>
      <w:r>
        <w:rPr>
          <w:rFonts w:ascii="Arial" w:hAnsi="Arial" w:cs="Arial" w:eastAsia="Arial"/>
          <w:b/>
          <w:bCs/>
          <w:color w:val="12284B"/>
          <w:sz w:val="22"/>
          <w:szCs w:val="22"/>
          <w:rtl/>
        </w:rPr>
        <w:t>نظرة على قطاع الصكوك:</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تتوقع وكالة ستاندرد آند بورز العالمية للتصنيفات الائتمانية (S&amp;P Global Ratings) أن يتراوح حجم إصدار الصكوك الإسلامية في عام 2025م مابين 190 مليار دولار أمريكي و 200 مليار دولار أمريكي، مدعوما بالأداء القوي للسوق في العام السابق. وقد بلغ إجمالي الإصدارات في عام 2024م نحو 193.4 مليار دولار أمريكي، بانخفاض طفيف مقارنة بسجلات عام 2023م والذي بلغ 197.8 مليار دولار أمريكي.</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 xml:space="preserve">من حيث الأداء، سجل مؤشر داو جونز للصكوك في الولايات المتحدة (باستثناء إعادة الاستثمار) مكاسبا بنسبة </w:t>
      </w:r>
      <w:r>
        <w:rPr>
          <w:rFonts w:ascii="Arial" w:hAnsi="Arial" w:cs="Arial" w:eastAsia="Arial"/>
          <w:color w:val="0E1E3A"/>
          <w:sz w:val="20"/>
          <w:szCs w:val="20"/>
        </w:rPr>
        <w:t>‎3.98%‎</w:t>
      </w:r>
      <w:r>
        <w:rPr>
          <w:rFonts w:ascii="Arial" w:hAnsi="Arial" w:cs="Arial" w:eastAsia="Arial"/>
          <w:color w:val="0E1E3A"/>
          <w:sz w:val="20"/>
          <w:szCs w:val="20"/>
          <w:rtl/>
        </w:rPr>
        <w:t xml:space="preserve"> منذ بداية العام الجاري وحتى تاريخه، في حين حقق مؤشر ستاندرد آند بورز للسندات والصكوك لدول مجلس التعاون الخليجي مكاسب بنسبة </w:t>
      </w:r>
      <w:r>
        <w:rPr>
          <w:rFonts w:ascii="Arial" w:hAnsi="Arial" w:cs="Arial" w:eastAsia="Arial"/>
          <w:color w:val="0E1E3A"/>
          <w:sz w:val="20"/>
          <w:szCs w:val="20"/>
        </w:rPr>
        <w:t>‎4.00%‎</w:t>
      </w:r>
      <w:r>
        <w:rPr>
          <w:rFonts w:ascii="Arial" w:hAnsi="Arial" w:cs="Arial" w:eastAsia="Arial"/>
          <w:color w:val="0E1E3A"/>
          <w:sz w:val="20"/>
          <w:szCs w:val="20"/>
          <w:rtl/>
        </w:rPr>
        <w:t xml:space="preserve"> خلال نفس الفترة.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5" name="Picture 9052"/>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أداء سعر الوحدة المتداولة في السوق منذ بدء الصندوق</w:t>
      </w:r>
    </w:p>
    <w:p>
      <w:pPr>
        <w:bidi w:val="1"/>
        <w:spacing w:before="0" w:after="80" w:line="240" w:lineRule="auto"/>
        <w:jc w:val="center"/>
      </w:pPr>
      <w:r>
        <w:drawing>
          <wp:inline xmlns:a="http://schemas.openxmlformats.org/drawingml/2006/main" xmlns:pic="http://schemas.openxmlformats.org/drawingml/2006/picture">
            <wp:extent cx="6336000" cy="2825514"/>
            <wp:docPr id="26" name="Picture 9053"/>
            <wp:cNvGraphicFramePr>
              <a:graphicFrameLocks noChangeAspect="1"/>
            </wp:cNvGraphicFramePr>
            <a:graphic>
              <a:graphicData uri="http://schemas.openxmlformats.org/drawingml/2006/picture">
                <pic:pic>
                  <pic:nvPicPr>
                    <pic:cNvPr id="0" name="x6.j.jpg"/>
                    <pic:cNvPicPr/>
                  </pic:nvPicPr>
                  <pic:blipFill>
                    <a:blip r:embed="rId24"/>
                    <a:stretch>
                      <a:fillRect/>
                    </a:stretch>
                  </pic:blipFill>
                  <pic:spPr>
                    <a:xfrm>
                      <a:off x="0" y="0"/>
                      <a:ext cx="6336000" cy="2825514"/>
                    </a:xfrm>
                    <a:prstGeom prst="rect"/>
                  </pic:spPr>
                </pic:pic>
              </a:graphicData>
            </a:graphic>
          </wp:inline>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7" name="Picture 9054"/>
            <wp:cNvGraphicFramePr>
              <a:graphicFrameLocks noChangeAspect="1"/>
            </wp:cNvGraphicFramePr>
            <a:graphic>
              <a:graphicData uri="http://schemas.openxmlformats.org/drawingml/2006/picture">
                <pic:pic>
                  <pic:nvPicPr>
                    <pic:cNvPr id="0" name="ico_8eba3796ad497c7a142d47da7c90fea0.png"/>
                    <pic:cNvPicPr/>
                  </pic:nvPicPr>
                  <pic:blipFill>
                    <a:blip r:embed="rId2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للحصول على المزيد من المعلومات</w:t>
      </w:r>
    </w:p>
    <w:p>
      <w:pPr>
        <w:bidi w:val="1"/>
        <w:spacing w:before="0" w:after="80" w:line="312" w:lineRule="auto"/>
      </w:pPr>
      <w:r>
        <w:rPr>
          <w:rFonts w:ascii="Arial" w:hAnsi="Arial" w:cs="Arial" w:eastAsia="Arial"/>
          <w:color w:val="0E1E3A"/>
          <w:sz w:val="20"/>
          <w:szCs w:val="20"/>
          <w:rtl/>
        </w:rPr>
        <w:t>شركة الخبير المالية</w:t>
      </w:r>
      <w:r>
        <w:br/>
      </w:r>
      <w:r>
        <w:rPr>
          <w:rFonts w:ascii="Arial" w:hAnsi="Arial" w:cs="Arial" w:eastAsia="Arial"/>
          <w:color w:val="0E1E3A"/>
          <w:sz w:val="20"/>
          <w:szCs w:val="20"/>
          <w:rtl/>
        </w:rPr>
        <w:t>ص.ب 128289 جدة 21362</w:t>
      </w:r>
      <w:r>
        <w:br/>
      </w:r>
      <w:r>
        <w:rPr>
          <w:rFonts w:ascii="Arial" w:hAnsi="Arial" w:cs="Arial" w:eastAsia="Arial"/>
          <w:color w:val="0E1E3A"/>
          <w:sz w:val="20"/>
          <w:szCs w:val="20"/>
          <w:rtl/>
        </w:rPr>
        <w:t>المملكة العربية السعودية</w:t>
      </w:r>
      <w:r>
        <w:br/>
      </w:r>
      <w:r>
        <w:rPr>
          <w:rFonts w:ascii="Arial" w:hAnsi="Arial" w:cs="Arial" w:eastAsia="Arial"/>
          <w:color w:val="0E1E3A"/>
          <w:sz w:val="20"/>
          <w:szCs w:val="20"/>
          <w:rtl/>
        </w:rPr>
        <w:t xml:space="preserve">هاتف: </w:t>
      </w:r>
      <w:r>
        <w:rPr>
          <w:rFonts w:ascii="Arial" w:hAnsi="Arial" w:cs="Arial" w:eastAsia="Arial"/>
          <w:color w:val="0E1E3A"/>
          <w:sz w:val="20"/>
          <w:szCs w:val="20"/>
        </w:rPr>
        <w:t>‎+966 12 658 8888‎</w:t>
      </w:r>
      <w:r>
        <w:br/>
      </w:r>
      <w:r>
        <w:rPr>
          <w:rFonts w:ascii="Arial" w:hAnsi="Arial" w:cs="Arial" w:eastAsia="Arial"/>
          <w:color w:val="0E1E3A"/>
          <w:sz w:val="20"/>
          <w:szCs w:val="20"/>
          <w:rtl/>
        </w:rPr>
        <w:t xml:space="preserve">فاكس: </w:t>
      </w:r>
      <w:r>
        <w:rPr>
          <w:rFonts w:ascii="Arial" w:hAnsi="Arial" w:cs="Arial" w:eastAsia="Arial"/>
          <w:color w:val="0E1E3A"/>
          <w:sz w:val="20"/>
          <w:szCs w:val="20"/>
        </w:rPr>
        <w:t>‎+966 12 658 6663‎</w:t>
      </w:r>
      <w:r>
        <w:br/>
      </w:r>
      <w:r>
        <w:rPr>
          <w:rFonts w:ascii="Arial" w:hAnsi="Arial" w:cs="Arial" w:eastAsia="Arial"/>
          <w:color w:val="0E1E3A"/>
          <w:sz w:val="20"/>
          <w:szCs w:val="20"/>
          <w:rtl/>
        </w:rPr>
        <w:t>البريد الإلكتروني: info@alkhabeer.com</w:t>
      </w:r>
      <w:r>
        <w:br/>
      </w:r>
      <w:r>
        <w:rPr>
          <w:rFonts w:ascii="Arial" w:hAnsi="Arial" w:cs="Arial" w:eastAsia="Arial"/>
          <w:color w:val="0E1E3A"/>
          <w:sz w:val="20"/>
          <w:szCs w:val="20"/>
          <w:rtl/>
        </w:rPr>
        <w:t>رقم السجل التجاري: 4030177445</w:t>
      </w:r>
      <w:r>
        <w:br/>
      </w:r>
      <w:r>
        <w:rPr>
          <w:rFonts w:ascii="Arial" w:hAnsi="Arial" w:cs="Arial" w:eastAsia="Arial"/>
          <w:color w:val="0E1E3A"/>
          <w:sz w:val="20"/>
          <w:szCs w:val="20"/>
          <w:rtl/>
        </w:rPr>
        <w:t xml:space="preserve">الرخصة الصادرة من هيئة السوق المالية: </w:t>
      </w:r>
      <w:r>
        <w:rPr>
          <w:rFonts w:ascii="Arial" w:hAnsi="Arial" w:cs="Arial" w:eastAsia="Arial"/>
          <w:color w:val="0E1E3A"/>
          <w:sz w:val="20"/>
          <w:szCs w:val="20"/>
        </w:rPr>
        <w:t>‎07074-37‎</w:t>
      </w:r>
      <w:r>
        <w:br/>
      </w:r>
      <w:r>
        <w:rPr>
          <w:rFonts w:ascii="Arial" w:hAnsi="Arial" w:cs="Arial" w:eastAsia="Arial"/>
          <w:color w:val="0E1E3A"/>
          <w:sz w:val="20"/>
          <w:szCs w:val="20"/>
          <w:rtl/>
        </w:rPr>
        <w:t>www.alkhabeer.com</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8" name="Picture 9055"/>
            <wp:cNvGraphicFramePr>
              <a:graphicFrameLocks noChangeAspect="1"/>
            </wp:cNvGraphicFramePr>
            <a:graphic>
              <a:graphicData uri="http://schemas.openxmlformats.org/drawingml/2006/picture">
                <pic:pic>
                  <pic:nvPicPr>
                    <pic:cNvPr id="0" name="ico_31799530e5dd3dc5b4ca7f2d37945432.png"/>
                    <pic:cNvPicPr/>
                  </pic:nvPicPr>
                  <pic:blipFill>
                    <a:blip r:embed="rId26"/>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إشعار مهم</w:t>
      </w:r>
    </w:p>
    <w:p>
      <w:pPr>
        <w:bidi w:val="1"/>
        <w:spacing w:before="0" w:after="80" w:line="312" w:lineRule="auto"/>
      </w:pPr>
      <w:r>
        <w:rPr>
          <w:rFonts w:ascii="Arial" w:hAnsi="Arial" w:cs="Arial" w:eastAsia="Arial"/>
          <w:color w:val="5A6478"/>
          <w:sz w:val="17"/>
          <w:szCs w:val="17"/>
          <w:rtl/>
        </w:rPr>
        <w:t>لا تمثل هذه الوثيقة عرضا للشراء، أو الاكتتاب، أو المشاركة بأي شكل في صندوق "الخبير للدخل المتنوع المتداول"، ولا تشكل الوثيقة (أو أي جزء منها) أساسا، ولا ينبغي الاعتماد عليها للقيام بما تقدم أو محفزا لإبرام أي تعاقد مهما كان نوعه. يجب على المستثمرين المحتملين قراءة شروط وأحكام صندوق "الخبير للدخل" وما ورد فيها بشأن مخاطر الاستثمار ووثائقه الأخرى بعناية ودقة قبل اتخاذ القرار وذلك من خلال الموقع الإلكتروني لشركة "الخبير المالية": www.alkhabeer.com. هذا الاستثمار ليس وديعة نقدية لدى بنك محلي. ويمكن أن ترتفع أو تنخفض قيمة الاستثمار وأي دخل آخر متحقق منه. كما يتوجب على جميع المستثمرين الراغبين في الاستثمار التوصل إلى قرارهم بالتشاور مع مستشاريهم الماليين والقانونيين وتقييم جميع المخاطر التي ينطوي عليها الاستثمار. كما لا يمكن إعطاء ضمان بأن النتائج المستهدفة والمتوقعة سوف تتحقق، وبالإضافة إلى ذلك، فإن الأداء السابق لا يضمن النتائج المستقبلية للصندوق. يعد استثمار المستثمر في الصندوق إقرارا منه باطلاعه على شروط وأحكام الصندوق وقبوله بها. تنتفي المسؤولية عن مدير الصندوق أو أي من تابعيه في حال وقوع أي خسارة مالية للصندوق ما لم يكن ذلك ناتجا عن أسباب متعمدة من قبل مدير الصندوق. الاستثمار في الصندوق خاضع للرسوم كما هو مذكور في الشروط والأحكام.</w:t>
      </w:r>
    </w:p>
    <w:sectPr w:rsidR="00FC693F" w:rsidRPr="0006063C" w:rsidSect="00034616">
      <w:headerReference w:type="default" r:id="rId9"/>
      <w:headerReference w:type="first" r:id="rId11"/>
      <w:footerReference w:type="default" r:id="rId10"/>
      <w:footerReference w:type="first" r:id="rId12"/>
      <w:pgSz w:w="11906" w:h="16838"/>
      <w:pgMar w:top="1247" w:right="964" w:bottom="1134" w:left="964" w:header="567" w:footer="510" w:gutter="0"/>
      <w:cols w:space="720"/>
      <w:titlePg/>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before="0" w:after="0" w:line="240" w:lineRule="auto"/>
    </w:pPr>
    <w:r/>
    <w:r>
      <w:rPr>
        <w:rFonts w:ascii="Arial" w:hAnsi="Arial" w:cs="Arial" w:eastAsia="Arial"/>
        <w:color w:val="5A6478"/>
        <w:sz w:val="15"/>
        <w:szCs w:val="15"/>
        <w:rtl/>
      </w:rPr>
      <w:t xml:space="preserve">الخبير المالية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before="0" w:after="0" w:line="240" w:lineRule="auto"/>
    </w:pPr>
    <w:r/>
    <w:r>
      <w:rPr>
        <w:rFonts w:ascii="Arial" w:hAnsi="Arial" w:cs="Arial" w:eastAsia="Arial"/>
        <w:color w:val="5A6478"/>
        <w:sz w:val="15"/>
        <w:szCs w:val="15"/>
        <w:rtl/>
      </w:rPr>
      <w:t xml:space="preserve">الخبير المالية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DCE3EE"/>
      </w:pBdr>
      <w:bidi w:val="1"/>
      <w:spacing w:before="0" w:after="0" w:line="240" w:lineRule="auto"/>
    </w:pPr>
    <w:r/>
    <w:r>
      <w:rPr>
        <w:rFonts w:ascii="Arial" w:hAnsi="Arial" w:cs="Arial" w:eastAsia="Arial"/>
        <w:color w:val="5A6478"/>
        <w:sz w:val="15"/>
        <w:szCs w:val="15"/>
        <w:rtl/>
      </w:rPr>
      <w:t>البيان الربع سنوي</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ar-SA"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val="1"/>
    </w:pPr>
    <w:rPr>
      <w:rFonts w:ascii="Arial" w:hAnsi="Arial" w:cs="Arial" w:eastAsia="Arial"/>
      <w:sz w:val="20"/>
      <w:rt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bidi w:val="1"/>
      <w:spacing w:before="0" w:after="100"/>
      <w:outlineLvl w:val="0"/>
    </w:pPr>
    <w:rPr>
      <w:rFonts w:ascii="Arial" w:hAnsi="Arial" w:cs="Arial" w:eastAsia="Arial"/>
      <w:b/>
      <w:bCs/>
      <w:color w:val="12284B"/>
      <w:sz w:val="36"/>
      <w:szCs w:val="28"/>
      <w:rtl/>
    </w:rPr>
  </w:style>
  <w:style w:type="paragraph" w:styleId="Heading2">
    <w:name w:val="heading 2"/>
    <w:basedOn w:val="Normal"/>
    <w:next w:val="Normal"/>
    <w:link w:val="Heading2Char"/>
    <w:uiPriority w:val="9"/>
    <w:unhideWhenUsed/>
    <w:qFormat/>
    <w:rsid w:val="00FC693F"/>
    <w:pPr>
      <w:keepNext/>
      <w:keepLines/>
      <w:bidi w:val="1"/>
      <w:spacing w:before="200" w:after="100"/>
      <w:outlineLvl w:val="1"/>
    </w:pPr>
    <w:rPr>
      <w:rFonts w:ascii="Arial" w:hAnsi="Arial" w:cs="Arial" w:eastAsia="Arial"/>
      <w:b/>
      <w:bCs/>
      <w:color w:val="12284B"/>
      <w:sz w:val="26"/>
      <w:szCs w:val="26"/>
      <w:rtl/>
    </w:rPr>
  </w:style>
  <w:style w:type="paragraph" w:styleId="Heading3">
    <w:name w:val="heading 3"/>
    <w:basedOn w:val="Normal"/>
    <w:next w:val="Normal"/>
    <w:link w:val="Heading3Char"/>
    <w:uiPriority w:val="9"/>
    <w:unhideWhenUsed/>
    <w:qFormat/>
    <w:rsid w:val="00FC693F"/>
    <w:pPr>
      <w:keepNext/>
      <w:keepLines/>
      <w:bidi w:val="1"/>
      <w:spacing w:before="200" w:after="100"/>
      <w:outlineLvl w:val="2"/>
    </w:pPr>
    <w:rPr>
      <w:rFonts w:ascii="Arial" w:hAnsi="Arial" w:cs="Arial" w:eastAsia="Arial"/>
      <w:b/>
      <w:bCs/>
      <w:color w:val="12284B"/>
      <w:sz w:val="22"/>
      <w:rtl/>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bidi w:val="1"/>
      <w:spacing w:after="300" w:line="240" w:lineRule="auto"/>
      <w:contextualSpacing/>
    </w:pPr>
    <w:rPr>
      <w:rFonts w:ascii="Arial" w:hAnsi="Arial" w:cs="Arial" w:eastAsia="Arial"/>
      <w:color w:val="17365D" w:themeColor="text2" w:themeShade="BF"/>
      <w:spacing w:val="5"/>
      <w:kern w:val="28"/>
      <w:sz w:val="52"/>
      <w:szCs w:val="52"/>
      <w:rtl/>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bidi w:val="1"/>
      <w:ind w:left="720"/>
      <w:contextualSpacing/>
    </w:pPr>
    <w:rPr>
      <w:rFonts w:ascii="Arial" w:hAnsi="Arial" w:cs="Arial" w:eastAsia="Arial"/>
      <w:rtl/>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sz w:val="22"/>
        <w:szCs w:val="22"/>
        <w:lang w:val="en-US" w:eastAsia="Arial"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jp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jpg"/><Relationship Id="rId25" Type="http://schemas.openxmlformats.org/officeDocument/2006/relationships/image" Target="media/image13.png"/><Relationship Id="rId26"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ajorFont>
      <a:min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صندوق الخبير للدخل المتنوع المتداول — البيان الربع سنوي الربع الثاني 2025م</dc:title>
  <dc:subject/>
  <dc:creator>Alkhabeer Capital</dc:creator>
  <cp:keywords/>
  <dc:description>generated by python-docx</dc:description>
  <cp:lastModifiedBy/>
  <cp:revision>1</cp:revision>
  <dcterms:created xsi:type="dcterms:W3CDTF">2013-12-23T23:15:00Z</dcterms:created>
  <dcterms:modified xsi:type="dcterms:W3CDTF">2013-12-23T23:15:00Z</dcterms:modified>
  <cp:category/>
  <dc:language>ar-SA</dc:language>
</cp:coreProperties>
</file>