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1"/>
            <wp:cNvGraphicFramePr/>
            <a:graphic>
              <a:graphicData uri="http://schemas.openxmlformats.org/drawingml/2006/picture">
                <pic:pic>
                  <pic:nvPicPr>
                    <pic:cNvPr id="9021" name="banner9021.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 ("الصندوق") هو صندوق استثمار متداول مغلق متوافق مع ضوابط الهيئة الشرعية، وتم إنشاؤه بموجب 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٤٧٠٠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١٩ يناير ٢٠٢١م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٩٩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١٠.١٠٢٢</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٥١٦,٦٠٤,٨٨٨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w:t>
            </w:r>
          </w:p>
        </w:tc>
        <w:tc>
          <w:tcPr>
            <w:tcW w:type="dxa" w:w="6860"/>
          </w:tcPr>
          <w:p>
            <w:pPr>
              <w:bidi w:val="1"/>
              <w:spacing w:before="0" w:after="0" w:line="276" w:lineRule="auto"/>
            </w:pPr>
            <w:r>
              <w:rPr>
                <w:rFonts w:ascii="Arial" w:hAnsi="Arial" w:cs="Arial" w:eastAsia="Arial"/>
                <w:b/>
                <w:bCs/>
                <w:color w:val="0E1E3A"/>
                <w:sz w:val="18"/>
                <w:szCs w:val="18"/>
                <w:rtl/>
              </w:rPr>
              <w:t>٤٧٢,٨١٤,٧٠٠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٣٧,٤٦٣,٨٥٠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‎٧.٢٥%‎</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‎٧.٨٤%‎</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ونسبة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‎٠.٠%‎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‎٠.٢٢%‎</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٣٠ سبتمبر ٢٠٢١م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978811"/>
            <wp:docPr id="5" name="Picture 902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٥١٦,٦٠٤,٨٨٨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٤٧٧,٦٤٧,٩٥٤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ونسبة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‎٠.٠٠%‎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‎٠.٤١%‎</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‎٠.٤١%‎</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‎٠.٤٤%‎</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المصروفات و 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٢,١١٩,٧١٢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‎٠.٤٤%‎</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٣٠ سبتمبر ٢٠٢١م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28"/>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١٠٥,٤١٩,٩٨٥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٢٠١,٢٠٨,٧٥٦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٨٢,٨٨١,٤٧٢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٧٩,٠٢٤,٥٣٠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٤٨,٠٧٠,١٤٦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1" name="Picture 9031"/>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91892"/>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٤٧٢,٨١٤,٧٠٠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٣١ مارس ٢٠٢١م</w:t>
            </w:r>
          </w:p>
        </w:tc>
        <w:tc>
          <w:tcPr>
            <w:tcW w:type="dxa" w:w="6860"/>
          </w:tcPr>
          <w:p>
            <w:pPr>
              <w:bidi w:val="1"/>
              <w:spacing w:before="0" w:after="0" w:line="276" w:lineRule="auto"/>
            </w:pPr>
            <w:r>
              <w:rPr>
                <w:rFonts w:ascii="Arial" w:hAnsi="Arial" w:cs="Arial" w:eastAsia="Arial"/>
                <w:b/>
                <w:bCs/>
                <w:color w:val="0E1E3A"/>
                <w:sz w:val="18"/>
                <w:szCs w:val="18"/>
                <w:rtl/>
              </w:rPr>
              <w:t>٤٢٨,٣٧٠,١١٨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٣٠ يونيو ٢٠٢١م</w:t>
            </w:r>
          </w:p>
        </w:tc>
        <w:tc>
          <w:tcPr>
            <w:tcW w:type="dxa" w:w="6860"/>
          </w:tcPr>
          <w:p>
            <w:pPr>
              <w:bidi w:val="1"/>
              <w:spacing w:before="0" w:after="0" w:line="276" w:lineRule="auto"/>
            </w:pPr>
            <w:r>
              <w:rPr>
                <w:rFonts w:ascii="Arial" w:hAnsi="Arial" w:cs="Arial" w:eastAsia="Arial"/>
                <w:b/>
                <w:bCs/>
                <w:color w:val="0E1E3A"/>
                <w:sz w:val="18"/>
                <w:szCs w:val="18"/>
                <w:rtl/>
              </w:rPr>
              <w:t>٤٣٣,٠٩٨,٢٦٥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٣٠ سبتمبر ٢٠٢١م</w:t>
            </w:r>
          </w:p>
        </w:tc>
        <w:tc>
          <w:tcPr>
            <w:tcW w:type="dxa" w:w="6860"/>
          </w:tcPr>
          <w:p>
            <w:pPr>
              <w:bidi w:val="1"/>
              <w:spacing w:before="0" w:after="0" w:line="276" w:lineRule="auto"/>
            </w:pPr>
            <w:r>
              <w:rPr>
                <w:rFonts w:ascii="Arial" w:hAnsi="Arial" w:cs="Arial" w:eastAsia="Arial"/>
                <w:b/>
                <w:bCs/>
                <w:color w:val="0E1E3A"/>
                <w:sz w:val="18"/>
                <w:szCs w:val="18"/>
                <w:rtl/>
              </w:rPr>
              <w:t>٤٢٧,٨٩٧,٣٠٤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الثالث (٣٠ سبتمبر ٢٠٢١م)</w:t>
            </w:r>
          </w:p>
        </w:tc>
        <w:tc>
          <w:tcPr>
            <w:tcW w:type="dxa" w:w="6860"/>
          </w:tcPr>
          <w:p>
            <w:pPr>
              <w:bidi w:val="1"/>
              <w:spacing w:before="0" w:after="0" w:line="276" w:lineRule="auto"/>
            </w:pPr>
            <w:r>
              <w:rPr>
                <w:rFonts w:ascii="Arial" w:hAnsi="Arial" w:cs="Arial" w:eastAsia="Arial"/>
                <w:b/>
                <w:bCs/>
                <w:color w:val="0E1E3A"/>
                <w:sz w:val="18"/>
                <w:szCs w:val="18"/>
                <w:rtl/>
              </w:rPr>
              <w:t>٩.٠٥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(من تاريخ ٣٠ يونيو ٢٠٢١م إلى ٣٠ سبتمبر ٢٠٢١م)*</w:t>
            </w:r>
          </w:p>
        </w:tc>
        <w:tc>
          <w:tcPr>
            <w:tcW w:type="dxa" w:w="6860"/>
          </w:tcPr>
          <w:p>
            <w:pPr>
              <w:bidi w:val="1"/>
              <w:spacing w:before="0" w:after="0" w:line="276" w:lineRule="auto"/>
            </w:pPr>
            <w:r>
              <w:rPr>
                <w:rFonts w:ascii="Arial" w:hAnsi="Arial" w:cs="Arial" w:eastAsia="Arial"/>
                <w:b/>
                <w:bCs/>
                <w:color w:val="0E1E3A"/>
                <w:sz w:val="18"/>
                <w:szCs w:val="18"/>
              </w:rPr>
              <w:t>‎-١.٢%‎</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الثالث ٢٠٢١م)</w:t>
            </w:r>
          </w:p>
        </w:tc>
        <w:tc>
          <w:tcPr>
            <w:tcW w:type="dxa" w:w="6860"/>
          </w:tcPr>
          <w:p>
            <w:pPr>
              <w:bidi w:val="1"/>
              <w:spacing w:before="0" w:after="0" w:line="276" w:lineRule="auto"/>
            </w:pPr>
            <w:r>
              <w:rPr>
                <w:rFonts w:ascii="Arial" w:hAnsi="Arial" w:cs="Arial" w:eastAsia="Arial"/>
                <w:b/>
                <w:bCs/>
                <w:color w:val="0E1E3A"/>
                <w:sz w:val="18"/>
                <w:szCs w:val="18"/>
              </w:rPr>
              <w:t>‎-٩.٥%‎</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٥٢ أسبوعا</w:t>
            </w:r>
          </w:p>
        </w:tc>
        <w:tc>
          <w:tcPr>
            <w:tcW w:type="dxa" w:w="6860"/>
          </w:tcPr>
          <w:p>
            <w:pPr>
              <w:bidi w:val="1"/>
              <w:spacing w:before="0" w:after="0" w:line="276" w:lineRule="auto"/>
            </w:pPr>
            <w:r>
              <w:rPr>
                <w:rFonts w:ascii="Arial" w:hAnsi="Arial" w:cs="Arial" w:eastAsia="Arial"/>
                <w:b/>
                <w:bCs/>
                <w:color w:val="0E1E3A"/>
                <w:sz w:val="18"/>
                <w:szCs w:val="18"/>
                <w:rtl/>
              </w:rPr>
              <w:t>١٢.٠٠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٥٢ أسبوعا</w:t>
            </w:r>
          </w:p>
        </w:tc>
        <w:tc>
          <w:tcPr>
            <w:tcW w:type="dxa" w:w="6860"/>
          </w:tcPr>
          <w:p>
            <w:pPr>
              <w:bidi w:val="1"/>
              <w:spacing w:before="0" w:after="0" w:line="276" w:lineRule="auto"/>
            </w:pPr>
            <w:r>
              <w:rPr>
                <w:rFonts w:ascii="Arial" w:hAnsi="Arial" w:cs="Arial" w:eastAsia="Arial"/>
                <w:b/>
                <w:bCs/>
                <w:color w:val="0E1E3A"/>
                <w:sz w:val="18"/>
                <w:szCs w:val="18"/>
                <w:rtl/>
              </w:rPr>
              <w:t>٨.٩٨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٤٧,٢٨١,٤٧٠ وحدة</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٣٠ يونيو ٢٠٢١ = ٩.١٦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4"/>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عن الربع</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‎١٠٠%‎</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من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للفترة (٣٠ سبتمبر ٢٠٢١م)</w:t>
            </w:r>
          </w:p>
        </w:tc>
        <w:tc>
          <w:tcPr>
            <w:tcW w:type="dxa" w:w="6860"/>
          </w:tcPr>
          <w:p>
            <w:pPr>
              <w:bidi w:val="1"/>
              <w:spacing w:before="0" w:after="0" w:line="276" w:lineRule="auto"/>
            </w:pPr>
            <w:r>
              <w:rPr>
                <w:rFonts w:ascii="Arial" w:hAnsi="Arial" w:cs="Arial" w:eastAsia="Arial"/>
                <w:b/>
                <w:bCs/>
                <w:color w:val="0E1E3A"/>
                <w:sz w:val="18"/>
                <w:szCs w:val="18"/>
                <w:rtl/>
              </w:rPr>
              <w:t>٨,٥٥٢,١٠٢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الدخل للفترة على سعر الوحدة (٣٠ سبتمبر ٢٠٢١م)</w:t>
            </w:r>
          </w:p>
        </w:tc>
        <w:tc>
          <w:tcPr>
            <w:tcW w:type="dxa" w:w="6860"/>
          </w:tcPr>
          <w:p>
            <w:pPr>
              <w:bidi w:val="1"/>
              <w:spacing w:before="0" w:after="0" w:line="276" w:lineRule="auto"/>
            </w:pPr>
            <w:r>
              <w:rPr>
                <w:rFonts w:ascii="Arial" w:hAnsi="Arial" w:cs="Arial" w:eastAsia="Arial"/>
                <w:b/>
                <w:bCs/>
                <w:color w:val="0E1E3A"/>
                <w:sz w:val="18"/>
                <w:szCs w:val="18"/>
              </w:rPr>
              <w:t>‎٢.٠٠%‎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المعني (أي ربح مدفوع لاحق لآخر تقرير تم الإفصاح عنه)</w:t>
            </w:r>
          </w:p>
        </w:tc>
        <w:tc>
          <w:tcPr>
            <w:tcW w:type="dxa" w:w="6860"/>
          </w:tcPr>
          <w:p>
            <w:pPr>
              <w:bidi w:val="1"/>
              <w:spacing w:before="0" w:after="0" w:line="276" w:lineRule="auto"/>
            </w:pPr>
            <w:r>
              <w:rPr>
                <w:rFonts w:ascii="Arial" w:hAnsi="Arial" w:cs="Arial" w:eastAsia="Arial"/>
                <w:b/>
                <w:bCs/>
                <w:color w:val="0E1E3A"/>
                <w:sz w:val="18"/>
                <w:szCs w:val="18"/>
                <w:rtl/>
              </w:rPr>
              <w:t>٨,٥١٠,٦٦٥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لكل وحدة</w:t>
            </w:r>
          </w:p>
        </w:tc>
        <w:tc>
          <w:tcPr>
            <w:tcW w:type="dxa" w:w="6860"/>
          </w:tcPr>
          <w:p>
            <w:pPr>
              <w:bidi w:val="1"/>
              <w:spacing w:before="0" w:after="0" w:line="276" w:lineRule="auto"/>
            </w:pPr>
            <w:r>
              <w:rPr>
                <w:rFonts w:ascii="Arial" w:hAnsi="Arial" w:cs="Arial" w:eastAsia="Arial"/>
                <w:b/>
                <w:bCs/>
                <w:color w:val="0E1E3A"/>
                <w:sz w:val="18"/>
                <w:szCs w:val="18"/>
                <w:rtl/>
              </w:rPr>
              <w:t>٠.١٨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على سعر الوحدة *</w:t>
            </w:r>
          </w:p>
        </w:tc>
        <w:tc>
          <w:tcPr>
            <w:tcW w:type="dxa" w:w="6860"/>
          </w:tcPr>
          <w:p>
            <w:pPr>
              <w:bidi w:val="1"/>
              <w:spacing w:before="0" w:after="0" w:line="276" w:lineRule="auto"/>
            </w:pPr>
            <w:r>
              <w:rPr>
                <w:rFonts w:ascii="Arial" w:hAnsi="Arial" w:cs="Arial" w:eastAsia="Arial"/>
                <w:b/>
                <w:bCs/>
                <w:color w:val="0E1E3A"/>
                <w:sz w:val="18"/>
                <w:szCs w:val="18"/>
              </w:rPr>
              <w:t>‎١.٩٧%‎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لمالكي الوحدات حسب سجل مالكي الوحدات بنهاية تاريخ ١٩ أغسطس ٢٠٢١م (نهاية يوم تداول ١٧ أغسطس ٢٠٢١م)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المعني</w:t>
            </w:r>
          </w:p>
        </w:tc>
        <w:tc>
          <w:tcPr>
            <w:tcW w:type="dxa" w:w="6860"/>
          </w:tcPr>
          <w:p>
            <w:pPr>
              <w:bidi w:val="1"/>
              <w:spacing w:before="0" w:after="0" w:line="276" w:lineRule="auto"/>
            </w:pPr>
            <w:r>
              <w:rPr>
                <w:rFonts w:ascii="Arial" w:hAnsi="Arial" w:cs="Arial" w:eastAsia="Arial"/>
                <w:b/>
                <w:bCs/>
                <w:color w:val="0E1E3A"/>
                <w:sz w:val="18"/>
                <w:szCs w:val="18"/>
                <w:rtl/>
              </w:rPr>
              <w:t>٨,٥١٠,٦٦٥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‎١.٨%‎</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٣٠ يونيو ٢٠٢١م = ٩.١٦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(الليبور- LIBOR) لمدة ١٢ شهر زائد ٣٠٠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١٠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‎-١.٢٠%‎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‎-٩.٥%‎</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‎-٧.٧٠%‎</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نهاية الربع الثاني إلى نهاية الربع الثالث من العام ٢٠٢١م.</w:t>
      </w:r>
      <w:r>
        <w:br/>
      </w:r>
      <w:r>
        <w:rPr>
          <w:rFonts w:ascii="Arial" w:hAnsi="Arial" w:cs="Arial" w:eastAsia="Arial"/>
          <w:color w:val="5A6478"/>
          <w:sz w:val="17"/>
          <w:szCs w:val="17"/>
          <w:rtl/>
        </w:rPr>
        <w:t>** من تاريخ بدء الصندوق إلى نهاية الربع الثالث من العام ٢٠٢١م.</w:t>
      </w:r>
      <w:r>
        <w:br/>
      </w:r>
      <w:r>
        <w:rPr>
          <w:rFonts w:ascii="Arial" w:hAnsi="Arial" w:cs="Arial" w:eastAsia="Arial"/>
          <w:color w:val="5A6478"/>
          <w:sz w:val="17"/>
          <w:szCs w:val="17"/>
          <w:rtl/>
        </w:rPr>
        <w:t>*** العائد الكلي = أداء سعر الوحدة + إجمالي الأرباح الموزعة (إن وجدت).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36"/>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(الليبور- LIBOR) لمدة ١٢ شهر زائد ٣٠٠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١٠.١٥</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١٠.١٠</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‎-٠.٤٣%‎</w:t>
            </w:r>
          </w:p>
        </w:tc>
        <w:tc>
          <w:tcPr>
            <w:tcW w:type="dxa" w:w="3326"/>
          </w:tcPr>
          <w:p>
            <w:pPr>
              <w:bidi w:val="1"/>
              <w:spacing w:before="0" w:after="0" w:line="264" w:lineRule="auto"/>
            </w:pPr>
            <w:r>
              <w:rPr>
                <w:rFonts w:ascii="Arial" w:hAnsi="Arial" w:cs="Arial" w:eastAsia="Arial"/>
                <w:color w:val="0E1E3A"/>
                <w:sz w:val="17"/>
                <w:szCs w:val="17"/>
              </w:rPr>
              <w:t>‎٠.٨٠%‎</w:t>
            </w:r>
            <w:r>
              <w:rPr>
                <w:rFonts w:ascii="Arial" w:hAnsi="Arial" w:cs="Arial" w:eastAsia="Arial"/>
                <w:color w:val="0E1E3A"/>
                <w:sz w:val="17"/>
                <w:szCs w:val="17"/>
                <w:rtl/>
              </w:rPr>
              <w:t xml:space="preserve"> ***</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١ يوليو ٢٠٢١م.</w:t>
      </w:r>
      <w:r>
        <w:br/>
      </w:r>
      <w:r>
        <w:rPr>
          <w:rFonts w:ascii="Arial" w:hAnsi="Arial" w:cs="Arial" w:eastAsia="Arial"/>
          <w:color w:val="5A6478"/>
          <w:sz w:val="17"/>
          <w:szCs w:val="17"/>
          <w:rtl/>
        </w:rPr>
        <w:t>** كما في تاريخ ٣٠ سبتمبر ٢٠٢١م.</w:t>
      </w:r>
      <w:r>
        <w:br/>
      </w:r>
      <w:r>
        <w:rPr>
          <w:rFonts w:ascii="Arial" w:hAnsi="Arial" w:cs="Arial" w:eastAsia="Arial"/>
          <w:color w:val="5A6478"/>
          <w:sz w:val="17"/>
          <w:szCs w:val="17"/>
          <w:rtl/>
        </w:rPr>
        <w:t xml:space="preserve">*** عائد المؤشر الاسترشادي </w:t>
      </w:r>
      <w:r>
        <w:rPr>
          <w:rFonts w:ascii="Arial" w:hAnsi="Arial" w:cs="Arial" w:eastAsia="Arial"/>
          <w:color w:val="5A6478"/>
          <w:sz w:val="17"/>
          <w:szCs w:val="17"/>
        </w:rPr>
        <w:t>‎٣.٢٥%‎</w:t>
      </w:r>
      <w:r>
        <w:rPr>
          <w:rFonts w:ascii="Arial" w:hAnsi="Arial" w:cs="Arial" w:eastAsia="Arial"/>
          <w:color w:val="5A6478"/>
          <w:sz w:val="17"/>
          <w:szCs w:val="17"/>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‎١٠٠%‎</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‎٠%‎</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3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٣ أشهر*</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سنة منذ بدء الصندوق حتى تاريخ ٣٠ سبتمبر ٢٠٢١م**</w:t>
            </w:r>
          </w:p>
        </w:tc>
      </w:tr>
      <w:tr>
        <w:tc>
          <w:tcPr>
            <w:tcW w:type="dxa" w:w="3326"/>
          </w:tcPr>
          <w:p>
            <w:pPr>
              <w:bidi w:val="1"/>
              <w:spacing w:before="0" w:after="0" w:line="264" w:lineRule="auto"/>
            </w:pPr>
            <w:r>
              <w:rPr>
                <w:rFonts w:ascii="Arial" w:hAnsi="Arial" w:cs="Arial" w:eastAsia="Arial"/>
                <w:color w:val="0E1E3A"/>
                <w:sz w:val="17"/>
                <w:szCs w:val="17"/>
                <w:rtl/>
              </w:rPr>
              <w:t>أداء إجمالي عوائد الصندوق*</w:t>
            </w:r>
          </w:p>
        </w:tc>
        <w:tc>
          <w:tcPr>
            <w:tcW w:type="dxa" w:w="3326"/>
          </w:tcPr>
          <w:p>
            <w:pPr>
              <w:bidi w:val="1"/>
              <w:spacing w:before="0" w:after="0" w:line="264" w:lineRule="auto"/>
            </w:pPr>
            <w:r>
              <w:rPr>
                <w:rFonts w:ascii="Arial" w:hAnsi="Arial" w:cs="Arial" w:eastAsia="Arial"/>
                <w:color w:val="0E1E3A"/>
                <w:sz w:val="17"/>
                <w:szCs w:val="17"/>
              </w:rPr>
              <w:t>‎١.٣٧%‎</w:t>
            </w:r>
          </w:p>
        </w:tc>
        <w:tc>
          <w:tcPr>
            <w:tcW w:type="dxa" w:w="3326"/>
          </w:tcPr>
          <w:p>
            <w:pPr>
              <w:bidi w:val="1"/>
              <w:spacing w:before="0" w:after="0" w:line="264" w:lineRule="auto"/>
            </w:pPr>
            <w:r>
              <w:rPr>
                <w:rFonts w:ascii="Arial" w:hAnsi="Arial" w:cs="Arial" w:eastAsia="Arial"/>
                <w:color w:val="0E1E3A"/>
                <w:sz w:val="17"/>
                <w:szCs w:val="17"/>
              </w:rPr>
              <w:t>‎٢.٨٢%‎</w:t>
            </w:r>
          </w:p>
        </w:tc>
      </w:tr>
      <w:tr>
        <w:tc>
          <w:tcPr>
            <w:tcW w:type="dxa" w:w="3326"/>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3326"/>
          </w:tcPr>
          <w:p>
            <w:pPr>
              <w:bidi w:val="1"/>
              <w:spacing w:before="0" w:after="0" w:line="264" w:lineRule="auto"/>
            </w:pPr>
            <w:r>
              <w:rPr>
                <w:rFonts w:ascii="Arial" w:hAnsi="Arial" w:cs="Arial" w:eastAsia="Arial"/>
                <w:color w:val="0E1E3A"/>
                <w:sz w:val="17"/>
                <w:szCs w:val="17"/>
              </w:rPr>
              <w:t>‎٠.٨٠%‎</w:t>
            </w:r>
          </w:p>
        </w:tc>
        <w:tc>
          <w:tcPr>
            <w:tcW w:type="dxa" w:w="3326"/>
          </w:tcPr>
          <w:p>
            <w:pPr>
              <w:bidi w:val="1"/>
              <w:spacing w:before="0" w:after="0" w:line="264" w:lineRule="auto"/>
            </w:pPr>
            <w:r>
              <w:rPr>
                <w:rFonts w:ascii="Arial" w:hAnsi="Arial" w:cs="Arial" w:eastAsia="Arial"/>
                <w:color w:val="0E1E3A"/>
                <w:sz w:val="17"/>
                <w:szCs w:val="17"/>
              </w:rPr>
              <w:t>‎٢.٢٨%‎</w:t>
            </w:r>
          </w:p>
        </w:tc>
      </w:tr>
      <w:tr>
        <w:tc>
          <w:tcPr>
            <w:tcW w:type="dxa" w:w="3326"/>
          </w:tcPr>
          <w:p>
            <w:pPr>
              <w:bidi w:val="1"/>
              <w:spacing w:before="0" w:after="0" w:line="264" w:lineRule="auto"/>
            </w:pPr>
            <w:r>
              <w:rPr>
                <w:rFonts w:ascii="Arial" w:hAnsi="Arial" w:cs="Arial" w:eastAsia="Arial"/>
                <w:color w:val="0E1E3A"/>
                <w:sz w:val="17"/>
                <w:szCs w:val="17"/>
                <w:rtl/>
              </w:rPr>
              <w:t>فارق الأداء</w:t>
            </w:r>
          </w:p>
        </w:tc>
        <w:tc>
          <w:tcPr>
            <w:tcW w:type="dxa" w:w="3326"/>
          </w:tcPr>
          <w:p>
            <w:pPr>
              <w:bidi w:val="1"/>
              <w:spacing w:before="0" w:after="0" w:line="264" w:lineRule="auto"/>
            </w:pPr>
            <w:r>
              <w:rPr>
                <w:rFonts w:ascii="Arial" w:hAnsi="Arial" w:cs="Arial" w:eastAsia="Arial"/>
                <w:color w:val="0E1E3A"/>
                <w:sz w:val="17"/>
                <w:szCs w:val="17"/>
              </w:rPr>
              <w:t>‎٠.٥٧%‎</w:t>
            </w:r>
          </w:p>
        </w:tc>
        <w:tc>
          <w:tcPr>
            <w:tcW w:type="dxa" w:w="3326"/>
          </w:tcPr>
          <w:p>
            <w:pPr>
              <w:bidi w:val="1"/>
              <w:spacing w:before="0" w:after="0" w:line="264" w:lineRule="auto"/>
            </w:pPr>
            <w:r>
              <w:rPr>
                <w:rFonts w:ascii="Arial" w:hAnsi="Arial" w:cs="Arial" w:eastAsia="Arial"/>
                <w:color w:val="0E1E3A"/>
                <w:sz w:val="17"/>
                <w:szCs w:val="17"/>
              </w:rPr>
              <w:t>‎٠.٥٤%‎</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xml:space="preserve">* عن الفترة من ١ يوليو ٢٠٢١م إلى ٣٠ سبتمبر ٢٠٢١م. متضمنة التوزيعات النقدية بنسبة </w:t>
      </w:r>
      <w:r>
        <w:rPr>
          <w:rFonts w:ascii="Arial" w:hAnsi="Arial" w:cs="Arial" w:eastAsia="Arial"/>
          <w:color w:val="5A6478"/>
          <w:sz w:val="17"/>
          <w:szCs w:val="17"/>
        </w:rPr>
        <w:t>‎١.٨٠%‎</w:t>
      </w:r>
      <w:r>
        <w:rPr>
          <w:rFonts w:ascii="Arial" w:hAnsi="Arial" w:cs="Arial" w:eastAsia="Arial"/>
          <w:color w:val="5A6478"/>
          <w:sz w:val="17"/>
          <w:szCs w:val="17"/>
          <w:rtl/>
        </w:rPr>
        <w:t>.</w:t>
      </w:r>
      <w:r>
        <w:br/>
      </w:r>
      <w:r>
        <w:rPr>
          <w:rFonts w:ascii="Arial" w:hAnsi="Arial" w:cs="Arial" w:eastAsia="Arial"/>
          <w:color w:val="5A6478"/>
          <w:sz w:val="17"/>
          <w:szCs w:val="17"/>
          <w:rtl/>
        </w:rPr>
        <w:t>** عن الفترة من ١٩ يناير ٢٠٢١م إلى ٣٠ سبتمبر ٢٠٢١م.</w:t>
      </w:r>
      <w:r>
        <w:br/>
      </w:r>
      <w:r>
        <w:rPr>
          <w:rFonts w:ascii="Arial" w:hAnsi="Arial" w:cs="Arial" w:eastAsia="Arial"/>
          <w:color w:val="5A6478"/>
          <w:sz w:val="17"/>
          <w:szCs w:val="17"/>
          <w:rtl/>
        </w:rPr>
        <w:t>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39"/>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٣ أشهر</w:t>
            </w:r>
            <w:r>
              <w:rPr>
                <w:rFonts w:ascii="Arial" w:hAnsi="Arial" w:cs="Arial" w:eastAsia="Arial"/>
                <w:b/>
                <w:bCs/>
                <w:color w:val="FFFFFF"/>
                <w:sz w:val="17"/>
                <w:szCs w:val="17"/>
                <w:rtl/>
              </w:rPr>
              <w:t>١</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سنة حتى تاريخ ٣٠ ستمبر ٢٠٢١م</w:t>
            </w:r>
            <w:r>
              <w:rPr>
                <w:rFonts w:ascii="Arial" w:hAnsi="Arial" w:cs="Arial" w:eastAsia="Arial"/>
                <w:b/>
                <w:bCs/>
                <w:color w:val="FFFFFF"/>
                <w:sz w:val="17"/>
                <w:szCs w:val="17"/>
                <w:rtl/>
              </w:rPr>
              <w:t>٢</w:t>
            </w:r>
          </w:p>
        </w:tc>
      </w:tr>
      <w:tr>
        <w:tc>
          <w:tcPr>
            <w:tcW w:type="dxa" w:w="3326"/>
          </w:tcPr>
          <w:p>
            <w:pPr>
              <w:bidi w:val="1"/>
              <w:spacing w:before="0" w:after="0" w:line="264" w:lineRule="auto"/>
            </w:pPr>
            <w:r>
              <w:rPr>
                <w:rFonts w:ascii="Arial" w:hAnsi="Arial" w:cs="Arial" w:eastAsia="Arial"/>
                <w:color w:val="0E1E3A"/>
                <w:sz w:val="17"/>
                <w:szCs w:val="17"/>
                <w:rtl/>
              </w:rPr>
              <w:t>الانحراف المعياري</w:t>
            </w:r>
            <w:r>
              <w:rPr>
                <w:rFonts w:ascii="Arial" w:hAnsi="Arial" w:cs="Arial" w:eastAsia="Arial"/>
                <w:color w:val="0E1E3A"/>
                <w:sz w:val="17"/>
                <w:szCs w:val="17"/>
                <w:rtl/>
              </w:rPr>
              <w:t>٣</w:t>
            </w:r>
          </w:p>
        </w:tc>
        <w:tc>
          <w:tcPr>
            <w:tcW w:type="dxa" w:w="3326"/>
          </w:tcPr>
          <w:p>
            <w:pPr>
              <w:bidi w:val="1"/>
              <w:spacing w:before="0" w:after="0" w:line="264" w:lineRule="auto"/>
            </w:pPr>
            <w:r>
              <w:rPr>
                <w:rFonts w:ascii="Arial" w:hAnsi="Arial" w:cs="Arial" w:eastAsia="Arial"/>
                <w:color w:val="0E1E3A"/>
                <w:sz w:val="17"/>
                <w:szCs w:val="17"/>
                <w:rtl/>
              </w:rPr>
              <w:t>٨.١٩</w:t>
            </w:r>
          </w:p>
        </w:tc>
        <w:tc>
          <w:tcPr>
            <w:tcW w:type="dxa" w:w="3326"/>
          </w:tcPr>
          <w:p>
            <w:pPr>
              <w:bidi w:val="1"/>
              <w:spacing w:before="0" w:after="0" w:line="264" w:lineRule="auto"/>
            </w:pPr>
            <w:r>
              <w:rPr>
                <w:rFonts w:ascii="Arial" w:hAnsi="Arial" w:cs="Arial" w:eastAsia="Arial"/>
                <w:color w:val="0E1E3A"/>
                <w:sz w:val="17"/>
                <w:szCs w:val="17"/>
                <w:rtl/>
              </w:rPr>
              <w:t>١١.٤٣</w:t>
            </w:r>
          </w:p>
        </w:tc>
      </w:tr>
      <w:tr>
        <w:tc>
          <w:tcPr>
            <w:tcW w:type="dxa" w:w="3326"/>
          </w:tcPr>
          <w:p>
            <w:pPr>
              <w:bidi w:val="1"/>
              <w:spacing w:before="0" w:after="0" w:line="264" w:lineRule="auto"/>
            </w:pPr>
            <w:r>
              <w:rPr>
                <w:rFonts w:ascii="Arial" w:hAnsi="Arial" w:cs="Arial" w:eastAsia="Arial"/>
                <w:color w:val="0E1E3A"/>
                <w:sz w:val="17"/>
                <w:szCs w:val="17"/>
                <w:rtl/>
              </w:rPr>
              <w:t>مؤشر شارب</w:t>
            </w:r>
            <w:r>
              <w:rPr>
                <w:rFonts w:ascii="Arial" w:hAnsi="Arial" w:cs="Arial" w:eastAsia="Arial"/>
                <w:color w:val="0E1E3A"/>
                <w:sz w:val="17"/>
                <w:szCs w:val="17"/>
                <w:rtl/>
              </w:rPr>
              <w:t>٤</w:t>
            </w:r>
          </w:p>
        </w:tc>
        <w:tc>
          <w:tcPr>
            <w:tcW w:type="dxa" w:w="3326"/>
          </w:tcPr>
          <w:p>
            <w:pPr>
              <w:bidi w:val="1"/>
              <w:spacing w:before="0" w:after="0" w:line="264" w:lineRule="auto"/>
            </w:pPr>
            <w:r>
              <w:rPr>
                <w:rFonts w:ascii="Arial" w:hAnsi="Arial" w:cs="Arial" w:eastAsia="Arial"/>
                <w:color w:val="0E1E3A"/>
                <w:sz w:val="17"/>
                <w:szCs w:val="17"/>
                <w:rtl/>
              </w:rPr>
              <w:t>-٠.٧١</w:t>
            </w:r>
          </w:p>
        </w:tc>
        <w:tc>
          <w:tcPr>
            <w:tcW w:type="dxa" w:w="3326"/>
          </w:tcPr>
          <w:p>
            <w:pPr>
              <w:bidi w:val="1"/>
              <w:spacing w:before="0" w:after="0" w:line="264" w:lineRule="auto"/>
            </w:pPr>
            <w:r>
              <w:rPr>
                <w:rFonts w:ascii="Arial" w:hAnsi="Arial" w:cs="Arial" w:eastAsia="Arial"/>
                <w:color w:val="0E1E3A"/>
                <w:sz w:val="17"/>
                <w:szCs w:val="17"/>
                <w:rtl/>
              </w:rPr>
              <w:t>-١.٢٠</w:t>
            </w:r>
          </w:p>
        </w:tc>
      </w:tr>
      <w:tr>
        <w:tc>
          <w:tcPr>
            <w:tcW w:type="dxa" w:w="3326"/>
          </w:tcPr>
          <w:p>
            <w:pPr>
              <w:bidi w:val="1"/>
              <w:spacing w:before="0" w:after="0" w:line="264" w:lineRule="auto"/>
            </w:pPr>
            <w:r>
              <w:rPr>
                <w:rFonts w:ascii="Arial" w:hAnsi="Arial" w:cs="Arial" w:eastAsia="Arial"/>
                <w:color w:val="0E1E3A"/>
                <w:sz w:val="17"/>
                <w:szCs w:val="17"/>
                <w:rtl/>
              </w:rPr>
              <w:t>خطأ التتبع</w:t>
            </w:r>
            <w:r>
              <w:rPr>
                <w:rFonts w:ascii="Arial" w:hAnsi="Arial" w:cs="Arial" w:eastAsia="Arial"/>
                <w:color w:val="0E1E3A"/>
                <w:sz w:val="17"/>
                <w:szCs w:val="17"/>
                <w:rtl/>
              </w:rPr>
              <w:t>٥</w:t>
            </w:r>
          </w:p>
        </w:tc>
        <w:tc>
          <w:tcPr>
            <w:tcW w:type="dxa" w:w="3326"/>
          </w:tcPr>
          <w:p>
            <w:pPr>
              <w:bidi w:val="1"/>
              <w:spacing w:before="0" w:after="0" w:line="264" w:lineRule="auto"/>
            </w:pPr>
            <w:r>
              <w:rPr>
                <w:rFonts w:ascii="Arial" w:hAnsi="Arial" w:cs="Arial" w:eastAsia="Arial"/>
                <w:color w:val="0E1E3A"/>
                <w:sz w:val="17"/>
                <w:szCs w:val="17"/>
                <w:rtl/>
              </w:rPr>
              <w:t>٨.١٨</w:t>
            </w:r>
          </w:p>
        </w:tc>
        <w:tc>
          <w:tcPr>
            <w:tcW w:type="dxa" w:w="3326"/>
          </w:tcPr>
          <w:p>
            <w:pPr>
              <w:bidi w:val="1"/>
              <w:spacing w:before="0" w:after="0" w:line="264" w:lineRule="auto"/>
            </w:pPr>
            <w:r>
              <w:rPr>
                <w:rFonts w:ascii="Arial" w:hAnsi="Arial" w:cs="Arial" w:eastAsia="Arial"/>
                <w:color w:val="0E1E3A"/>
                <w:sz w:val="17"/>
                <w:szCs w:val="17"/>
                <w:rtl/>
              </w:rPr>
              <w:t>١١.٤٣</w:t>
            </w:r>
          </w:p>
        </w:tc>
      </w:tr>
      <w:tr>
        <w:tc>
          <w:tcPr>
            <w:tcW w:type="dxa" w:w="3326"/>
          </w:tcPr>
          <w:p>
            <w:pPr>
              <w:bidi w:val="1"/>
              <w:spacing w:before="0" w:after="0" w:line="264" w:lineRule="auto"/>
            </w:pPr>
            <w:r>
              <w:rPr>
                <w:rFonts w:ascii="Arial" w:hAnsi="Arial" w:cs="Arial" w:eastAsia="Arial"/>
                <w:color w:val="0E1E3A"/>
                <w:sz w:val="17"/>
                <w:szCs w:val="17"/>
                <w:rtl/>
              </w:rPr>
              <w:t>بيتا</w:t>
            </w:r>
            <w:r>
              <w:rPr>
                <w:rFonts w:ascii="Arial" w:hAnsi="Arial" w:cs="Arial" w:eastAsia="Arial"/>
                <w:color w:val="0E1E3A"/>
                <w:sz w:val="17"/>
                <w:szCs w:val="17"/>
                <w:rtl/>
              </w:rPr>
              <w:t>٦</w:t>
            </w:r>
          </w:p>
        </w:tc>
        <w:tc>
          <w:tcPr>
            <w:tcW w:type="dxa" w:w="3326"/>
          </w:tcPr>
          <w:p>
            <w:pPr>
              <w:bidi w:val="1"/>
              <w:spacing w:before="0" w:after="0" w:line="264" w:lineRule="auto"/>
            </w:pPr>
            <w:r>
              <w:rPr>
                <w:rFonts w:ascii="Arial" w:hAnsi="Arial" w:cs="Arial" w:eastAsia="Arial"/>
                <w:color w:val="0E1E3A"/>
                <w:sz w:val="17"/>
                <w:szCs w:val="17"/>
                <w:rtl/>
              </w:rPr>
              <w:t>-٧.٥٩</w:t>
            </w:r>
          </w:p>
        </w:tc>
        <w:tc>
          <w:tcPr>
            <w:tcW w:type="dxa" w:w="3326"/>
          </w:tcPr>
          <w:p>
            <w:pPr>
              <w:bidi w:val="1"/>
              <w:spacing w:before="0" w:after="0" w:line="264" w:lineRule="auto"/>
            </w:pPr>
            <w:r>
              <w:rPr>
                <w:rFonts w:ascii="Arial" w:hAnsi="Arial" w:cs="Arial" w:eastAsia="Arial"/>
                <w:color w:val="0E1E3A"/>
                <w:sz w:val="17"/>
                <w:szCs w:val="17"/>
                <w:rtl/>
              </w:rPr>
              <w:t>-٤.٧٢</w:t>
            </w:r>
          </w:p>
        </w:tc>
      </w:tr>
      <w:tr>
        <w:tc>
          <w:tcPr>
            <w:tcW w:type="dxa" w:w="3326"/>
          </w:tcPr>
          <w:p>
            <w:pPr>
              <w:bidi w:val="1"/>
              <w:spacing w:before="0" w:after="0" w:line="264" w:lineRule="auto"/>
            </w:pPr>
            <w:r>
              <w:rPr>
                <w:rFonts w:ascii="Arial" w:hAnsi="Arial" w:cs="Arial" w:eastAsia="Arial"/>
                <w:color w:val="0E1E3A"/>
                <w:sz w:val="17"/>
                <w:szCs w:val="17"/>
                <w:rtl/>
              </w:rPr>
              <w:t>ألفا</w:t>
            </w:r>
            <w:r>
              <w:rPr>
                <w:rFonts w:ascii="Arial" w:hAnsi="Arial" w:cs="Arial" w:eastAsia="Arial"/>
                <w:color w:val="0E1E3A"/>
                <w:sz w:val="17"/>
                <w:szCs w:val="17"/>
                <w:rtl/>
              </w:rPr>
              <w:t>٧</w:t>
            </w:r>
          </w:p>
        </w:tc>
        <w:tc>
          <w:tcPr>
            <w:tcW w:type="dxa" w:w="3326"/>
          </w:tcPr>
          <w:p>
            <w:pPr>
              <w:bidi w:val="1"/>
              <w:spacing w:before="0" w:after="0" w:line="264" w:lineRule="auto"/>
            </w:pPr>
            <w:r>
              <w:rPr>
                <w:rFonts w:ascii="Arial" w:hAnsi="Arial" w:cs="Arial" w:eastAsia="Arial"/>
                <w:color w:val="0E1E3A"/>
                <w:sz w:val="17"/>
                <w:szCs w:val="17"/>
              </w:rPr>
              <w:t>‎-٩.٤٤%‎</w:t>
            </w:r>
          </w:p>
        </w:tc>
        <w:tc>
          <w:tcPr>
            <w:tcW w:type="dxa" w:w="3326"/>
          </w:tcPr>
          <w:p>
            <w:pPr>
              <w:bidi w:val="1"/>
              <w:spacing w:before="0" w:after="0" w:line="264" w:lineRule="auto"/>
            </w:pPr>
            <w:r>
              <w:rPr>
                <w:rFonts w:ascii="Arial" w:hAnsi="Arial" w:cs="Arial" w:eastAsia="Arial"/>
                <w:color w:val="0E1E3A"/>
                <w:sz w:val="17"/>
                <w:szCs w:val="17"/>
              </w:rPr>
              <w:t>‎-١٧.٨٨%‎</w:t>
            </w:r>
          </w:p>
        </w:tc>
      </w:tr>
      <w:tr>
        <w:tc>
          <w:tcPr>
            <w:tcW w:type="dxa" w:w="3326"/>
          </w:tcPr>
          <w:p>
            <w:pPr>
              <w:bidi w:val="1"/>
              <w:spacing w:before="0" w:after="0" w:line="264" w:lineRule="auto"/>
            </w:pPr>
            <w:r>
              <w:rPr>
                <w:rFonts w:ascii="Arial" w:hAnsi="Arial" w:cs="Arial" w:eastAsia="Arial"/>
                <w:color w:val="0E1E3A"/>
                <w:sz w:val="17"/>
                <w:szCs w:val="17"/>
                <w:rtl/>
              </w:rPr>
              <w:t>مؤشر المعلومات</w:t>
            </w:r>
            <w:r>
              <w:rPr>
                <w:rFonts w:ascii="Arial" w:hAnsi="Arial" w:cs="Arial" w:eastAsia="Arial"/>
                <w:color w:val="0E1E3A"/>
                <w:sz w:val="17"/>
                <w:szCs w:val="17"/>
                <w:rtl/>
              </w:rPr>
              <w:t>٨</w:t>
            </w:r>
          </w:p>
        </w:tc>
        <w:tc>
          <w:tcPr>
            <w:tcW w:type="dxa" w:w="3326"/>
          </w:tcPr>
          <w:p>
            <w:pPr>
              <w:bidi w:val="1"/>
              <w:spacing w:before="0" w:after="0" w:line="264" w:lineRule="auto"/>
            </w:pPr>
            <w:r>
              <w:rPr>
                <w:rFonts w:ascii="Arial" w:hAnsi="Arial" w:cs="Arial" w:eastAsia="Arial"/>
                <w:color w:val="0E1E3A"/>
                <w:sz w:val="17"/>
                <w:szCs w:val="17"/>
              </w:rPr>
              <w:t>‎-١.١٥%‎</w:t>
            </w:r>
          </w:p>
        </w:tc>
        <w:tc>
          <w:tcPr>
            <w:tcW w:type="dxa" w:w="3326"/>
          </w:tcPr>
          <w:p>
            <w:pPr>
              <w:bidi w:val="1"/>
              <w:spacing w:before="0" w:after="0" w:line="264" w:lineRule="auto"/>
            </w:pPr>
            <w:r>
              <w:rPr>
                <w:rFonts w:ascii="Arial" w:hAnsi="Arial" w:cs="Arial" w:eastAsia="Arial"/>
                <w:color w:val="0E1E3A"/>
                <w:sz w:val="17"/>
                <w:szCs w:val="17"/>
              </w:rPr>
              <w:t>‎-١.٥٦%‎</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١. عن الفترة من ١ يوليو ٢٠٢١م إلى ٣٠ سبتمبر ٢٠٢١م.</w:t>
      </w:r>
      <w:r>
        <w:br/>
      </w:r>
      <w:r>
        <w:rPr>
          <w:rFonts w:ascii="Arial" w:hAnsi="Arial" w:cs="Arial" w:eastAsia="Arial"/>
          <w:color w:val="5A6478"/>
          <w:sz w:val="17"/>
          <w:szCs w:val="17"/>
          <w:rtl/>
        </w:rPr>
        <w:t>٢. عن الفترة من ١٩ يناير ٢٠٢١م إلى ٣٠ سبتمبر ٢٠٢١م.</w:t>
      </w:r>
      <w:r>
        <w:br/>
      </w:r>
      <w:r>
        <w:rPr>
          <w:rFonts w:ascii="Arial" w:hAnsi="Arial" w:cs="Arial" w:eastAsia="Arial"/>
          <w:color w:val="5A6478"/>
          <w:sz w:val="17"/>
          <w:szCs w:val="17"/>
          <w:rtl/>
        </w:rPr>
        <w:t>٣.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٤.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٥.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٦.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٧. ألفا يقيس أي تفوق حققه أداء الصندوق مقارنة بأداء المؤشر المرتبط به.</w:t>
      </w:r>
      <w:r>
        <w:br/>
      </w:r>
      <w:r>
        <w:rPr>
          <w:rFonts w:ascii="Arial" w:hAnsi="Arial" w:cs="Arial" w:eastAsia="Arial"/>
          <w:color w:val="5A6478"/>
          <w:sz w:val="17"/>
          <w:szCs w:val="17"/>
          <w:rtl/>
        </w:rPr>
        <w:t>٨. مؤشر المعلومات هو عبارة عن مقياس أداء معدل حسب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 تم احتساب معايير الأداء والمخاطر بناء على أسعار تداول الوحدة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0"/>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جوهرية أو مهمة تؤثر على عمل الصندوق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‎٣٨.٩%‎</w:t>
      </w:r>
      <w:r>
        <w:rPr>
          <w:rFonts w:ascii="Arial" w:hAnsi="Arial" w:cs="Arial" w:eastAsia="Arial"/>
          <w:color w:val="0E1E3A"/>
          <w:sz w:val="20"/>
          <w:szCs w:val="20"/>
          <w:rtl/>
        </w:rPr>
        <w:t xml:space="preserve"> من أصول الصندوق في صفقات إجارة تشمل عدة أنواع من المعدات والشركات، غالبيتها في الولايات المتحدة الأمريكية. ومن المتوقع أن تحقق محفظة الإجارة معدل عائد إجمالي يقدر بنسبة </w:t>
      </w:r>
      <w:r>
        <w:rPr>
          <w:rFonts w:ascii="Arial" w:hAnsi="Arial" w:cs="Arial" w:eastAsia="Arial"/>
          <w:color w:val="0E1E3A"/>
          <w:sz w:val="20"/>
          <w:szCs w:val="20"/>
        </w:rPr>
        <w:t>‎٦.٥%‎</w:t>
      </w:r>
      <w:r>
        <w:rPr>
          <w:rFonts w:ascii="Arial" w:hAnsi="Arial" w:cs="Arial" w:eastAsia="Arial"/>
          <w:color w:val="0E1E3A"/>
          <w:sz w:val="20"/>
          <w:szCs w:val="20"/>
          <w:rtl/>
        </w:rPr>
        <w:t xml:space="preserve"> سنويا على مدى السنوات الخمس القادمة بإذن الله.</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‎٢٠.٤%‎</w:t>
      </w:r>
      <w:r>
        <w:rPr>
          <w:rFonts w:ascii="Arial" w:hAnsi="Arial" w:cs="Arial" w:eastAsia="Arial"/>
          <w:color w:val="0E1E3A"/>
          <w:sz w:val="20"/>
          <w:szCs w:val="20"/>
          <w:rtl/>
        </w:rPr>
        <w:t xml:space="preserve"> من أصول الصندوق في صفقات تمويل تجاري مع عدة أطراف مقابلة وفي عدة قطاعات، وكانت غالبيتها في القارة الأوروبية. وجميع الصفقات المبرمة قصيرة الأجل بطبيعتها، وتحقق عوائدا - بإذن الله -تتراوح ما بين </w:t>
      </w:r>
      <w:r>
        <w:rPr>
          <w:rFonts w:ascii="Arial" w:hAnsi="Arial" w:cs="Arial" w:eastAsia="Arial"/>
          <w:color w:val="0E1E3A"/>
          <w:sz w:val="20"/>
          <w:szCs w:val="20"/>
        </w:rPr>
        <w:t>‎٦.٥%‎</w:t>
      </w:r>
      <w:r>
        <w:rPr>
          <w:rFonts w:ascii="Arial" w:hAnsi="Arial" w:cs="Arial" w:eastAsia="Arial"/>
          <w:color w:val="0E1E3A"/>
          <w:sz w:val="20"/>
          <w:szCs w:val="20"/>
          <w:rtl/>
        </w:rPr>
        <w:t xml:space="preserve"> إلى </w:t>
      </w:r>
      <w:r>
        <w:rPr>
          <w:rFonts w:ascii="Arial" w:hAnsi="Arial" w:cs="Arial" w:eastAsia="Arial"/>
          <w:color w:val="0E1E3A"/>
          <w:sz w:val="20"/>
          <w:szCs w:val="20"/>
        </w:rPr>
        <w:t>‎٧.٠%‎</w:t>
      </w:r>
      <w:r>
        <w:rPr>
          <w:rFonts w:ascii="Arial" w:hAnsi="Arial" w:cs="Arial" w:eastAsia="Arial"/>
          <w:color w:val="0E1E3A"/>
          <w:sz w:val="20"/>
          <w:szCs w:val="20"/>
          <w:rtl/>
        </w:rPr>
        <w:t xml:space="preserve"> سنويا.</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‎١٦%‎</w:t>
      </w:r>
      <w:r>
        <w:rPr>
          <w:rFonts w:ascii="Arial" w:hAnsi="Arial" w:cs="Arial" w:eastAsia="Arial"/>
          <w:color w:val="0E1E3A"/>
          <w:sz w:val="20"/>
          <w:szCs w:val="20"/>
          <w:rtl/>
        </w:rPr>
        <w:t xml:space="preserve"> من أصول الصندوق في صكوك ذات درجات تصنيف ائتمانية مختلفة، تشمل صكوكا سيادية وشبه سيادية وصكوك شركات. وقد حصل مدير الصندوق على تسهيلات ائتمانية تدعم زيادة عوائد المحفظة إلى أكثر من </w:t>
      </w:r>
      <w:r>
        <w:rPr>
          <w:rFonts w:ascii="Arial" w:hAnsi="Arial" w:cs="Arial" w:eastAsia="Arial"/>
          <w:color w:val="0E1E3A"/>
          <w:sz w:val="20"/>
          <w:szCs w:val="20"/>
        </w:rPr>
        <w:t>‎٥%‎</w:t>
      </w:r>
      <w:r>
        <w:rPr>
          <w:rFonts w:ascii="Arial" w:hAnsi="Arial" w:cs="Arial" w:eastAsia="Arial"/>
          <w:color w:val="0E1E3A"/>
          <w:sz w:val="20"/>
          <w:szCs w:val="20"/>
          <w:rtl/>
        </w:rPr>
        <w:t xml:space="preserve"> سنويا، مع المحافظة على وسط مرجح لتصنيف المحفظة بدرجة استثمارية.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لأغراض تنويع استثمارات الصندوق، استثمر مدير الصندوق </w:t>
      </w:r>
      <w:r>
        <w:rPr>
          <w:rFonts w:ascii="Arial" w:hAnsi="Arial" w:cs="Arial" w:eastAsia="Arial"/>
          <w:color w:val="0E1E3A"/>
          <w:sz w:val="20"/>
          <w:szCs w:val="20"/>
        </w:rPr>
        <w:t>‎١٥.٣%‎</w:t>
      </w:r>
      <w:r>
        <w:rPr>
          <w:rFonts w:ascii="Arial" w:hAnsi="Arial" w:cs="Arial" w:eastAsia="Arial"/>
          <w:color w:val="0E1E3A"/>
          <w:sz w:val="20"/>
          <w:szCs w:val="20"/>
          <w:rtl/>
        </w:rPr>
        <w:t xml:space="preserve"> من أصول الصندوق في صناديق دخل، تتراوح ما بين تمويل خاص وإجارة وتمويل تجاري وتسنيد. ويتوقع أن تحقق عائدا سنويا يتراوح في المتوسط بين </w:t>
      </w:r>
      <w:r>
        <w:rPr>
          <w:rFonts w:ascii="Arial" w:hAnsi="Arial" w:cs="Arial" w:eastAsia="Arial"/>
          <w:color w:val="0E1E3A"/>
          <w:sz w:val="20"/>
          <w:szCs w:val="20"/>
        </w:rPr>
        <w:t>‎٦%‎</w:t>
      </w:r>
      <w:r>
        <w:rPr>
          <w:rFonts w:ascii="Arial" w:hAnsi="Arial" w:cs="Arial" w:eastAsia="Arial"/>
          <w:color w:val="0E1E3A"/>
          <w:sz w:val="20"/>
          <w:szCs w:val="20"/>
          <w:rtl/>
        </w:rPr>
        <w:t xml:space="preserve"> إلى </w:t>
      </w:r>
      <w:r>
        <w:rPr>
          <w:rFonts w:ascii="Arial" w:hAnsi="Arial" w:cs="Arial" w:eastAsia="Arial"/>
          <w:color w:val="0E1E3A"/>
          <w:sz w:val="20"/>
          <w:szCs w:val="20"/>
        </w:rPr>
        <w:t>‎٧%‎</w:t>
      </w:r>
      <w:r>
        <w:rPr>
          <w:rFonts w:ascii="Arial" w:hAnsi="Arial" w:cs="Arial" w:eastAsia="Arial"/>
          <w:color w:val="0E1E3A"/>
          <w:sz w:val="20"/>
          <w:szCs w:val="20"/>
          <w:rtl/>
        </w:rPr>
        <w:t>.</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ينوي مدير الصندوق توزيع الأرباح المتحققة ضمن الإطار الزمني المستهدف المنصوص عليه في الشروط والأحكام.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80" w:line="312" w:lineRule="auto"/>
      </w:pPr>
      <w:r>
        <w:rPr>
          <w:rFonts w:ascii="Arial" w:hAnsi="Arial" w:cs="Arial" w:eastAsia="Arial"/>
          <w:color w:val="0E1E3A"/>
          <w:sz w:val="20"/>
          <w:szCs w:val="20"/>
          <w:rtl/>
        </w:rPr>
        <w:t xml:space="preserve">تعافى الاقتصاد الأمريكي بشكل جيد عموما من جائحة (كوفيد-١٩)، ومن المتوقع أن يصل نمو الناتج المحلي الإجمالي إلى </w:t>
      </w:r>
      <w:r>
        <w:rPr>
          <w:rFonts w:ascii="Arial" w:hAnsi="Arial" w:cs="Arial" w:eastAsia="Arial"/>
          <w:color w:val="0E1E3A"/>
          <w:sz w:val="20"/>
          <w:szCs w:val="20"/>
        </w:rPr>
        <w:t>‎٧%‎</w:t>
      </w:r>
      <w:r>
        <w:rPr>
          <w:rFonts w:ascii="Arial" w:hAnsi="Arial" w:cs="Arial" w:eastAsia="Arial"/>
          <w:color w:val="0E1E3A"/>
          <w:sz w:val="20"/>
          <w:szCs w:val="20"/>
          <w:rtl/>
        </w:rPr>
        <w:t xml:space="preserve"> في العام ٢٠٢١م، أي بمعدل أعلى من معدل نمو اقتصادات منطقة اليورو واليابان والاقتصادات العالمية المتقدمة الأخرى.</w:t>
      </w:r>
    </w:p>
    <w:p>
      <w:pPr>
        <w:bidi w:val="1"/>
        <w:spacing w:before="0" w:after="80" w:line="312" w:lineRule="auto"/>
      </w:pPr>
      <w:r>
        <w:rPr>
          <w:rFonts w:ascii="Arial" w:hAnsi="Arial" w:cs="Arial" w:eastAsia="Arial"/>
          <w:color w:val="0E1E3A"/>
          <w:sz w:val="20"/>
          <w:szCs w:val="20"/>
          <w:rtl/>
        </w:rPr>
        <w:t xml:space="preserve">بالإضافة إلى ذلك، لا يزال معدل البطالة في الولايات المتحدة آخذا في التراجع، حيث انخفض إلى </w:t>
      </w:r>
      <w:r>
        <w:rPr>
          <w:rFonts w:ascii="Arial" w:hAnsi="Arial" w:cs="Arial" w:eastAsia="Arial"/>
          <w:color w:val="0E1E3A"/>
          <w:sz w:val="20"/>
          <w:szCs w:val="20"/>
        </w:rPr>
        <w:t>‎٥.٢%‎</w:t>
      </w:r>
      <w:r>
        <w:rPr>
          <w:rFonts w:ascii="Arial" w:hAnsi="Arial" w:cs="Arial" w:eastAsia="Arial"/>
          <w:color w:val="0E1E3A"/>
          <w:sz w:val="20"/>
          <w:szCs w:val="20"/>
          <w:rtl/>
        </w:rPr>
        <w:t xml:space="preserve"> كما في ٣١ أغسطس ٢٠٢١م، مقارنة بنسبة </w:t>
      </w:r>
      <w:r>
        <w:rPr>
          <w:rFonts w:ascii="Arial" w:hAnsi="Arial" w:cs="Arial" w:eastAsia="Arial"/>
          <w:color w:val="0E1E3A"/>
          <w:sz w:val="20"/>
          <w:szCs w:val="20"/>
        </w:rPr>
        <w:t>‎٥.٩%‎</w:t>
      </w:r>
      <w:r>
        <w:rPr>
          <w:rFonts w:ascii="Arial" w:hAnsi="Arial" w:cs="Arial" w:eastAsia="Arial"/>
          <w:color w:val="0E1E3A"/>
          <w:sz w:val="20"/>
          <w:szCs w:val="20"/>
          <w:rtl/>
        </w:rPr>
        <w:t xml:space="preserve"> كما في ٣٠ يونيو ٢٠٢١م.</w:t>
      </w:r>
    </w:p>
    <w:p>
      <w:pPr>
        <w:bidi w:val="1"/>
        <w:spacing w:before="0" w:after="80" w:line="312" w:lineRule="auto"/>
      </w:pPr>
      <w:r>
        <w:rPr>
          <w:rFonts w:ascii="Arial" w:hAnsi="Arial" w:cs="Arial" w:eastAsia="Arial"/>
          <w:color w:val="0E1E3A"/>
          <w:sz w:val="20"/>
          <w:szCs w:val="20"/>
          <w:rtl/>
        </w:rPr>
        <w:t>من جهة أخرى، شهد الاستثمار في المعدات ارتفاعا كبيرا في الربع الأول ٢٠٢١م، ووصل اليوم إلى مستويات أعلى مما كان سائدا قبل تفشي الجائحة. ولا تزال الشركات في جميع أنحاء الولايات المتحدة تواصل الاستثمار، ومن المتوقع أن يؤدي ذلك إلى تعزيز النمو على مدى ما تبقى من السنة.</w:t>
      </w:r>
    </w:p>
    <w:p>
      <w:pPr>
        <w:bidi w:val="1"/>
        <w:spacing w:before="0" w:after="80" w:line="312" w:lineRule="auto"/>
      </w:pPr>
      <w:r>
        <w:rPr>
          <w:rFonts w:ascii="Arial" w:hAnsi="Arial" w:cs="Arial" w:eastAsia="Arial"/>
          <w:color w:val="0E1E3A"/>
          <w:sz w:val="20"/>
          <w:szCs w:val="20"/>
          <w:rtl/>
        </w:rPr>
        <w:t xml:space="preserve">وبحسب مؤسسة تأجير وتمويل المعدات، من المتوقع أن يرتفع حجم الاستثمارات في المعدات بحوالي </w:t>
      </w:r>
      <w:r>
        <w:rPr>
          <w:rFonts w:ascii="Arial" w:hAnsi="Arial" w:cs="Arial" w:eastAsia="Arial"/>
          <w:color w:val="0E1E3A"/>
          <w:sz w:val="20"/>
          <w:szCs w:val="20"/>
        </w:rPr>
        <w:t>‎١٣%‎</w:t>
      </w:r>
      <w:r>
        <w:rPr>
          <w:rFonts w:ascii="Arial" w:hAnsi="Arial" w:cs="Arial" w:eastAsia="Arial"/>
          <w:color w:val="0E1E3A"/>
          <w:sz w:val="20"/>
          <w:szCs w:val="20"/>
          <w:rtl/>
        </w:rPr>
        <w:t xml:space="preserve"> في العام ٢٠٢١م، ما يشير إلى تعافٍ قوي مقارنة بالعام ٢٠٢٠م. وتتوقع المؤسسة نموا قويا على مدى الأشهر الستة القادمة في القطاعات التي يستهدفها الصندوق، شاملة الزراعة، والسكك الحديدية، والبناء والإنشاءات، ومناولة المواد.</w:t>
      </w:r>
    </w:p>
    <w:p>
      <w:pPr>
        <w:bidi w:val="1"/>
        <w:spacing w:before="0" w:after="80" w:line="312" w:lineRule="auto"/>
      </w:pPr>
      <w:r>
        <w:rPr>
          <w:rFonts w:ascii="Arial" w:hAnsi="Arial" w:cs="Arial" w:eastAsia="Arial"/>
          <w:color w:val="0E1E3A"/>
          <w:sz w:val="20"/>
          <w:szCs w:val="20"/>
          <w:rtl/>
        </w:rPr>
        <w:t>وبالإجمال، من المتوقع أن تحافظ سوق تمويل المعدات على استقرارها عند مستوى يفوق ٩٠٠ مليار دولار أمريكي.</w:t>
      </w:r>
    </w:p>
    <w:p>
      <w:pPr>
        <w:bidi w:val="1"/>
        <w:spacing w:before="0" w:after="80" w:line="312" w:lineRule="auto"/>
      </w:pPr>
      <w:r>
        <w:rPr>
          <w:rFonts w:ascii="Arial" w:hAnsi="Arial" w:cs="Arial" w:eastAsia="Arial"/>
          <w:color w:val="0E1E3A"/>
          <w:sz w:val="20"/>
          <w:szCs w:val="20"/>
          <w:rtl/>
        </w:rPr>
        <w:t xml:space="preserve">ووفقا لمؤشر التأجير والتمويل الشهري (MLFI-25) الذي تصدره مؤسسة تأجير وتمويل المعدات لبيان النشاط الاقتصادي لخمس وعشرين شركة تمثل مختلف شرائح قطاع تمويل المعدات الذي يقدر حجمه بما مجموعه ٩٠٠ مليار دولار أمريكي، أظهر المؤشر أن إجمالي حجم أنشطة الأعمال الجديدة لتلك الشركات لشهر يوليو ٢٠٢١م قد بلغ ٩.٩ مليار دولار أمريكي، بارتفاع بنسبة </w:t>
      </w:r>
      <w:r>
        <w:rPr>
          <w:rFonts w:ascii="Arial" w:hAnsi="Arial" w:cs="Arial" w:eastAsia="Arial"/>
          <w:color w:val="0E1E3A"/>
          <w:sz w:val="20"/>
          <w:szCs w:val="20"/>
        </w:rPr>
        <w:t>‎٩%‎</w:t>
      </w:r>
      <w:r>
        <w:rPr>
          <w:rFonts w:ascii="Arial" w:hAnsi="Arial" w:cs="Arial" w:eastAsia="Arial"/>
          <w:color w:val="0E1E3A"/>
          <w:sz w:val="20"/>
          <w:szCs w:val="20"/>
          <w:rtl/>
        </w:rPr>
        <w:t xml:space="preserve"> مقارنة بحجم أنشطة الأعمال الجديدة لشهر يوليو ٢٠٢٠. كذلك فقد ارتفع الحجم التراكمي للأعمال الجديدة منذ بداية السنة حتى تاريخه، بما يقرب من </w:t>
      </w:r>
      <w:r>
        <w:rPr>
          <w:rFonts w:ascii="Arial" w:hAnsi="Arial" w:cs="Arial" w:eastAsia="Arial"/>
          <w:color w:val="0E1E3A"/>
          <w:sz w:val="20"/>
          <w:szCs w:val="20"/>
        </w:rPr>
        <w:t>‎٩%‎</w:t>
      </w:r>
      <w:r>
        <w:rPr>
          <w:rFonts w:ascii="Arial" w:hAnsi="Arial" w:cs="Arial" w:eastAsia="Arial"/>
          <w:color w:val="0E1E3A"/>
          <w:sz w:val="20"/>
          <w:szCs w:val="20"/>
          <w:rtl/>
        </w:rPr>
        <w:t xml:space="preserve"> مقارنة بالعام ٢٠٢٠م، ما يشير إلى تحقيق تعافٍ قوي.</w:t>
      </w:r>
    </w:p>
    <w:p>
      <w:pPr>
        <w:bidi w:val="1"/>
        <w:spacing w:before="0" w:after="80" w:line="312" w:lineRule="auto"/>
      </w:pPr>
      <w:r>
        <w:rPr>
          <w:rFonts w:ascii="Arial" w:hAnsi="Arial" w:cs="Arial" w:eastAsia="Arial"/>
          <w:color w:val="0E1E3A"/>
          <w:sz w:val="20"/>
          <w:szCs w:val="20"/>
          <w:rtl/>
        </w:rPr>
        <w:t>على صعيدٍ منفصل، سجل مؤشر الثقة الشهري الذي تصدره مؤسسة تأجير وتمويل المعدات (MCI-EFI) ٦٦.٦ نقطة في أغسطس ٢٠٢١م، متراجعا من ٧٢.٩ نقطة كما في يوليو ٢٠٢١م، غير أنه لا يزال أعلى بكثير مما كان عليه في ٢٠٢٠م ومن المتوسط العام للسنوات السابقة الذي بلغ ٥٩.٤ نقطة.</w:t>
      </w:r>
    </w:p>
    <w:p>
      <w:pPr>
        <w:bidi w:val="1"/>
        <w:spacing w:before="0" w:after="80" w:line="312" w:lineRule="auto"/>
      </w:pPr>
      <w:r>
        <w:rPr>
          <w:rFonts w:ascii="Arial" w:hAnsi="Arial" w:cs="Arial" w:eastAsia="Arial"/>
          <w:color w:val="0E1E3A"/>
          <w:sz w:val="20"/>
          <w:szCs w:val="20"/>
          <w:rtl/>
        </w:rPr>
        <w:t>وعلى الرغم من الانقطاع في سلسلة الإمداد والتموين في بعض القطاعات الاقتصادية، وبوادر التضخم وظهور فيروس متحور دلتا، يستمر حجم الأعمال الجديدة في قطاع تمويل المعدات لشهر يوليو قويا. كما أن الإنفاق الاستهلاكي آخذ في الارتفاع، وتواصل أسواق الأسهم تقدمها، بينما يتراجع معدل البطالة. وهي جميعها أسباب تدعو إلى التفاؤل بشأن الاستثمار في المعدات وأداء القطاع للنصف الثاني من السنة.</w:t>
      </w:r>
    </w:p>
    <w:p>
      <w:pPr>
        <w:pStyle w:val="Heading3"/>
        <w:keepNext/>
        <w:bidi w:val="1"/>
        <w:spacing w:before="160" w:after="100" w:line="300" w:lineRule="auto"/>
      </w:pPr>
      <w:r>
        <w:rPr>
          <w:rFonts w:ascii="Arial" w:hAnsi="Arial" w:cs="Arial" w:eastAsia="Arial"/>
          <w:b/>
          <w:bCs/>
          <w:color w:val="12284B"/>
          <w:sz w:val="22"/>
          <w:szCs w:val="22"/>
          <w:rtl/>
        </w:rPr>
        <w:t>نظرة على التمويل التجاري</w:t>
      </w:r>
    </w:p>
    <w:p>
      <w:pPr>
        <w:bidi w:val="1"/>
        <w:spacing w:before="0" w:after="80" w:line="312" w:lineRule="auto"/>
      </w:pPr>
      <w:r>
        <w:rPr>
          <w:rFonts w:ascii="Arial" w:hAnsi="Arial" w:cs="Arial" w:eastAsia="Arial"/>
          <w:color w:val="0E1E3A"/>
          <w:sz w:val="20"/>
          <w:szCs w:val="20"/>
          <w:rtl/>
        </w:rPr>
        <w:t>وفقا لما أوردته كوليشن Coalition، وهي ذراع الأبحاث التابعة لشركة ستاندرد آند بورز جلوبال، من المتوقع أن يتعافى الحجم الإجمالي العالمي للتمويل التجاري ليصل إلى ٥٢ مليار دولار أمريكي في العام ٢٠٢١م، وإلى حوالي ٥٤ مليار دولار أمريكي بحلول العام ٢٠٢٢م، متجاوزا المستوى الذي كان عليه قبل انتشار جائحة (كوفيد-١٩) في العام ٢٠١٩م حيث بلغ ٥٣ مليار دولار أمريكي.</w:t>
      </w:r>
    </w:p>
    <w:p>
      <w:pPr>
        <w:bidi w:val="1"/>
        <w:spacing w:before="0" w:after="80" w:line="312" w:lineRule="auto"/>
      </w:pPr>
      <w:r>
        <w:rPr>
          <w:rFonts w:ascii="Arial" w:hAnsi="Arial" w:cs="Arial" w:eastAsia="Arial"/>
          <w:color w:val="0E1E3A"/>
          <w:sz w:val="20"/>
          <w:szCs w:val="20"/>
          <w:rtl/>
        </w:rPr>
        <w:t xml:space="preserve">حيث إن ما يزيد عن </w:t>
      </w:r>
      <w:r>
        <w:rPr>
          <w:rFonts w:ascii="Arial" w:hAnsi="Arial" w:cs="Arial" w:eastAsia="Arial"/>
          <w:color w:val="0E1E3A"/>
          <w:sz w:val="20"/>
          <w:szCs w:val="20"/>
        </w:rPr>
        <w:t>‎٨٠%‎</w:t>
      </w:r>
      <w:r>
        <w:rPr>
          <w:rFonts w:ascii="Arial" w:hAnsi="Arial" w:cs="Arial" w:eastAsia="Arial"/>
          <w:color w:val="0E1E3A"/>
          <w:sz w:val="20"/>
          <w:szCs w:val="20"/>
          <w:rtl/>
        </w:rPr>
        <w:t xml:space="preserve"> إلى </w:t>
      </w:r>
      <w:r>
        <w:rPr>
          <w:rFonts w:ascii="Arial" w:hAnsi="Arial" w:cs="Arial" w:eastAsia="Arial"/>
          <w:color w:val="0E1E3A"/>
          <w:sz w:val="20"/>
          <w:szCs w:val="20"/>
        </w:rPr>
        <w:t>‎٩٠%‎</w:t>
      </w:r>
      <w:r>
        <w:rPr>
          <w:rFonts w:ascii="Arial" w:hAnsi="Arial" w:cs="Arial" w:eastAsia="Arial"/>
          <w:color w:val="0E1E3A"/>
          <w:sz w:val="20"/>
          <w:szCs w:val="20"/>
          <w:rtl/>
        </w:rPr>
        <w:t xml:space="preserve"> من التجارة العالمية تعتمد على التمويل التجاري، فإن ارتفاع حجم التجارة العالمية بنسبة </w:t>
      </w:r>
      <w:r>
        <w:rPr>
          <w:rFonts w:ascii="Arial" w:hAnsi="Arial" w:cs="Arial" w:eastAsia="Arial"/>
          <w:color w:val="0E1E3A"/>
          <w:sz w:val="20"/>
          <w:szCs w:val="20"/>
        </w:rPr>
        <w:t>‎٧.٢%‎</w:t>
      </w:r>
      <w:r>
        <w:rPr>
          <w:rFonts w:ascii="Arial" w:hAnsi="Arial" w:cs="Arial" w:eastAsia="Arial"/>
          <w:color w:val="0E1E3A"/>
          <w:sz w:val="20"/>
          <w:szCs w:val="20"/>
          <w:rtl/>
        </w:rPr>
        <w:t xml:space="preserve"> في العام ٢٠٢١م حسبما أعلنته منظمة التجارة العالمية، سوف يعزز إلى حد كبير الزيادة في عدد عمليات التمويل التجاري.</w:t>
      </w:r>
    </w:p>
    <w:p>
      <w:pPr>
        <w:bidi w:val="1"/>
        <w:spacing w:before="0" w:after="80" w:line="312" w:lineRule="auto"/>
      </w:pPr>
      <w:r>
        <w:rPr>
          <w:rFonts w:ascii="Arial" w:hAnsi="Arial" w:cs="Arial" w:eastAsia="Arial"/>
          <w:color w:val="0E1E3A"/>
          <w:sz w:val="20"/>
          <w:szCs w:val="20"/>
          <w:rtl/>
        </w:rPr>
        <w:t>الجدير بالذكر أنه وفقا لتقرير غرفة التجارة العالمية لسنة ٢٠٢١م، لم يتم تسجيل أي فئة أصول في قطاع التمويل التجاري أي معدلات عجز عن السداد تفوق معدلات الذروة التاريخية في العام ٢٠٢٠م، ما يؤكد بالتالي الاستقرار النسبي للقطاع، حتى خلال فترات الأزمات الاقتصادية.</w:t>
      </w:r>
    </w:p>
    <w:p>
      <w:pPr>
        <w:bidi w:val="1"/>
        <w:spacing w:before="0" w:after="80" w:line="312" w:lineRule="auto"/>
      </w:pPr>
      <w:r>
        <w:rPr>
          <w:rFonts w:ascii="Arial" w:hAnsi="Arial" w:cs="Arial" w:eastAsia="Arial"/>
          <w:color w:val="0E1E3A"/>
          <w:sz w:val="20"/>
          <w:szCs w:val="20"/>
          <w:rtl/>
        </w:rPr>
        <w:t>من المتوقع أيضا تحسن هوامش عمليات التمويل التجاري بفعل انخفاض تكاليف التمويل نتيجة لانخفاض أسعار الفائدة، ما يؤدي إلى تحفيز نمو الإيرادات من عمليات التمويل التجاري.</w:t>
      </w:r>
    </w:p>
    <w:p>
      <w:pPr>
        <w:bidi w:val="1"/>
        <w:spacing w:before="0" w:after="80" w:line="312" w:lineRule="auto"/>
      </w:pPr>
      <w:r>
        <w:rPr>
          <w:rFonts w:ascii="Arial" w:hAnsi="Arial" w:cs="Arial" w:eastAsia="Arial"/>
          <w:color w:val="0E1E3A"/>
          <w:sz w:val="20"/>
          <w:szCs w:val="20"/>
          <w:rtl/>
        </w:rPr>
        <w:t>بالإضافة إلى ذلك، أدى تطبيق معايير الإقراض الصارمة (معايير بازل ٣) مؤخرا إلى إيجاد فرصة لصناديق الدين الخاصة والمستثمرين للمشاركة في قطاع التمويل التجاري والذي كان في الماضي مقتصرا على البنوك التقليدية.</w:t>
      </w:r>
    </w:p>
    <w:p>
      <w:pPr>
        <w:bidi w:val="1"/>
        <w:spacing w:before="0" w:after="80" w:line="312" w:lineRule="auto"/>
      </w:pPr>
      <w:r>
        <w:rPr>
          <w:rFonts w:ascii="Arial" w:hAnsi="Arial" w:cs="Arial" w:eastAsia="Arial"/>
          <w:color w:val="0E1E3A"/>
          <w:sz w:val="20"/>
          <w:szCs w:val="20"/>
          <w:rtl/>
        </w:rPr>
        <w:t>كذلك فإن المنشآت الصغيرة ومتوسطة الحجم تمثل فرصة كبيرة لقطاع التمويل التجاري حيث إن البنوك التقليدية تركز عموما على العمليات الأكبر حجما.</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80" w:line="312" w:lineRule="auto"/>
      </w:pPr>
      <w:r>
        <w:rPr>
          <w:rFonts w:ascii="Arial" w:hAnsi="Arial" w:cs="Arial" w:eastAsia="Arial"/>
          <w:color w:val="0E1E3A"/>
          <w:sz w:val="20"/>
          <w:szCs w:val="20"/>
          <w:rtl/>
        </w:rPr>
        <w:t>وفقا لما أوردته ستاندرد آند بورز جلوبال ريتنغز، ارتفع حجم إصدارات الصكوك إلى ٩٠.٦ مليار دولار أمريكي في النصف الأول ٢٠٢١م، من ٨٦.٤ مليار دولار أمريكي في نفس الفترة من السنة السابقة. ومن المتوقع أن يتم تنفيذ جزء من هذه الاستثمارات في العام ٢٠٢١م بعد أن كانت أنشطة الشركات قد تراجعت في العام ٢٠٢٠م بسبب القيود المتعلقة بفيروس (كوفيد-١٩).</w:t>
      </w:r>
    </w:p>
    <w:p>
      <w:pPr>
        <w:bidi w:val="1"/>
        <w:spacing w:before="0" w:after="80" w:line="312" w:lineRule="auto"/>
      </w:pPr>
      <w:r>
        <w:rPr>
          <w:rFonts w:ascii="Arial" w:hAnsi="Arial" w:cs="Arial" w:eastAsia="Arial"/>
          <w:color w:val="0E1E3A"/>
          <w:sz w:val="20"/>
          <w:szCs w:val="20"/>
          <w:rtl/>
        </w:rPr>
        <w:t>من المتوقع أيضا أن تؤدي إصدارات البنوك والشركات إلى تحفيز الأداء العام لسوق الصكوك في النصف الثاني من العام ٢٠٢١م.</w:t>
      </w:r>
    </w:p>
    <w:p>
      <w:pPr>
        <w:bidi w:val="1"/>
        <w:spacing w:before="0" w:after="80" w:line="312" w:lineRule="auto"/>
      </w:pPr>
      <w:r>
        <w:rPr>
          <w:rFonts w:ascii="Arial" w:hAnsi="Arial" w:cs="Arial" w:eastAsia="Arial"/>
          <w:color w:val="0E1E3A"/>
          <w:sz w:val="20"/>
          <w:szCs w:val="20"/>
          <w:rtl/>
        </w:rPr>
        <w:t>كذلك فإن إعادة التمويل المتوقعة للصكوك بقيمة ٢٠ مليار دولار أمريكي تستحق في النصف الثاني من العام ٢٠٢١م سوف تؤدي إلى تحفيز الحجم العام للإصدارات في سوق الصكوك.</w:t>
      </w:r>
    </w:p>
    <w:p>
      <w:pPr>
        <w:bidi w:val="1"/>
        <w:spacing w:before="0" w:after="80" w:line="312" w:lineRule="auto"/>
      </w:pPr>
      <w:r>
        <w:rPr>
          <w:rFonts w:ascii="Arial" w:hAnsi="Arial" w:cs="Arial" w:eastAsia="Arial"/>
          <w:color w:val="0E1E3A"/>
          <w:sz w:val="20"/>
          <w:szCs w:val="20"/>
          <w:rtl/>
        </w:rPr>
        <w:t>وفقا لما أوردته فيتش ريتنغز، من المتوقع أن يرتفع حجم عرض الصكوك في النصف الثاني ٢٠٢١م بعد أن أظهر نموا قويا في الربع الثاني ٢٠٢١م. وسوف تتعزز إصدارات الصكوك نتيجة لإقبال المستثمرين القوي وإعادة تمويل المصدرين والحاجة إلى تنويع التمويل.</w:t>
      </w:r>
    </w:p>
    <w:p>
      <w:pPr>
        <w:bidi w:val="1"/>
        <w:spacing w:before="0" w:after="80" w:line="312" w:lineRule="auto"/>
      </w:pPr>
      <w:r>
        <w:rPr>
          <w:rFonts w:ascii="Arial" w:hAnsi="Arial" w:cs="Arial" w:eastAsia="Arial"/>
          <w:color w:val="0E1E3A"/>
          <w:sz w:val="20"/>
          <w:szCs w:val="20"/>
          <w:rtl/>
        </w:rPr>
        <w:t>أما على الصعيد الإقليمي، من المتوقع أن تشهد إصدارات الصكوك في منطقة الخليج العربي مزيدا من التراجع في النصف الثاني من السنة، حيث إن ارتفاع أسعار النفط قد أدى إلى خفض الاحتياجات السيادية للتمويل في الخليج العربي مقارنة بالعام ٢٠٢٠م. ولكن من المتوقع أن تعوض الشركات المصدرة للصكوك بشكل جزئي عن الانخفاض في الحجم في الجانب السيادي.</w:t>
      </w:r>
    </w:p>
    <w:p>
      <w:pPr>
        <w:bidi w:val="1"/>
        <w:spacing w:before="0" w:after="80" w:line="312" w:lineRule="auto"/>
      </w:pPr>
      <w:r>
        <w:rPr>
          <w:rFonts w:ascii="Arial" w:hAnsi="Arial" w:cs="Arial" w:eastAsia="Arial"/>
          <w:color w:val="0E1E3A"/>
          <w:sz w:val="20"/>
          <w:szCs w:val="20"/>
          <w:rtl/>
        </w:rPr>
        <w:t>وفقا لما أوردته وكالة موديز للتصنيف الائتماني، سوف يصل الحجم الإجمالي لإصدارات الصكوك قصيرة وطويلة الأجل في العام ٢٠٢١م إلى ما يتراوح بين ١٩٠ مليار دولار أمريكي و ٢٠٠ مليار دولار أمريكي، بعد وصولها مستوى غير مسبوق في العام ٢٠٢٠م بلغ ٢٠٥ مليار دولار أمريكي.</w:t>
      </w:r>
    </w:p>
    <w:p>
      <w:pPr>
        <w:bidi w:val="1"/>
        <w:spacing w:before="0" w:after="80" w:line="312" w:lineRule="auto"/>
      </w:pPr>
      <w:r>
        <w:rPr>
          <w:rFonts w:ascii="Arial" w:hAnsi="Arial" w:cs="Arial" w:eastAsia="Arial"/>
          <w:color w:val="0E1E3A"/>
          <w:sz w:val="20"/>
          <w:szCs w:val="20"/>
          <w:rtl/>
        </w:rPr>
        <w:t>أدى تحسن أوضاع السوق إلى تعافٍ قوي لإصدارات الشركات، غير أن الحكومات لا تزال أكبر المصدرين من حيث القيمة، حسبما أوردته الوكالة.</w:t>
      </w:r>
    </w:p>
    <w:p>
      <w:pPr>
        <w:bidi w:val="1"/>
        <w:spacing w:before="0" w:after="80" w:line="312" w:lineRule="auto"/>
      </w:pPr>
      <w:r>
        <w:rPr>
          <w:rFonts w:ascii="Arial" w:hAnsi="Arial" w:cs="Arial" w:eastAsia="Arial"/>
          <w:color w:val="0E1E3A"/>
          <w:sz w:val="20"/>
          <w:szCs w:val="20"/>
          <w:rtl/>
        </w:rPr>
        <w:t>إلى جانب ذلك، من المتوقع أيضا أن يرتفع في النصف الثاني ٢٠٢١م حجم إصدارات الصكوك الخضراء (للاستثمارات في الطاقة المتجددة والأصول الأخرى الرفيقة بالبيئة) نتيجة لتشجيع الحكومات على جداول أعمال السياسات المستدامة، وحيث إن الطلب على الاستثمارات المستدامة يشجع المصدرين الجدد على إصدار الصكوك الخضراء كأداة تمويلية بديلة.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w:t>
      </w:r>
    </w:p>
    <w:p>
      <w:pPr>
        <w:bidi w:val="1"/>
        <w:spacing w:before="0" w:after="80" w:line="240" w:lineRule="auto"/>
        <w:jc w:val="center"/>
      </w:pPr>
      <w:r>
        <w:drawing>
          <wp:inline xmlns:a="http://schemas.openxmlformats.org/drawingml/2006/main" xmlns:pic="http://schemas.openxmlformats.org/drawingml/2006/picture">
            <wp:extent cx="6336000" cy="2816000"/>
            <wp:docPr id="23" name="Picture 9043"/>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2816000"/>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الأسعار كما في ٣٠ سبتمبر ٢٠٢١م.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١٢٨٢٨٩ جدة ٢١٣٦٢</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٤٠٣٠١٧٧٤٤٥</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‎٠٧٠٧٤-٣٧‎</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45"/>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الثالث 2021م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