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23"/>
            <wp:cNvGraphicFramePr/>
            <a:graphic>
              <a:graphicData uri="http://schemas.openxmlformats.org/drawingml/2006/picture">
                <pic:pic>
                  <pic:nvPicPr>
                    <pic:cNvPr id="9023" name="banner9023.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 name="Picture 9024"/>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نبذة عامة عن الصندوق</w:t>
      </w:r>
    </w:p>
    <w:p>
      <w:pPr>
        <w:bidi w:val="1"/>
        <w:spacing w:before="0" w:after="80" w:line="312" w:lineRule="auto"/>
      </w:pPr>
      <w:r>
        <w:rPr>
          <w:rFonts w:ascii="Arial" w:hAnsi="Arial" w:cs="Arial" w:eastAsia="Arial"/>
          <w:color w:val="0E1E3A"/>
          <w:sz w:val="20"/>
          <w:szCs w:val="20"/>
          <w:rtl/>
        </w:rPr>
        <w:t>صندوق "الخبير للدخل المتنوع المتداول" ("الصندوق") هو صندوق استثمار متداول مغلق متوافق مع ضوابط الهيئة الشرعية، وتم إنشاؤه بموجب الأنظمة واللوائح المعمول بها في المملكة، ويخضع لرقابة وإشراف هيئة السوق المالية. ويتمثل الهدف الاستثماري للصندوق في تحقيق دخل دوري للمستثمرين من خلال الاستثمار في أصول مدّرة للدخل متوافقة مع ضوابط الهيئة الشرعية لتحقيق دخل دوري للصندوق. وينوي مدير الصندوق "الخبير المالية" الاستثمار في الصكوك، وصفقات التمويل التجاري، وصفقات الإجارة، وصناديق الدخل، وصفقات المرابحة، إما بشكل مباشر أو من خلال صناديق استثمار.</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 name="Picture 902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البيانات الأساسية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التداول</w:t>
            </w:r>
          </w:p>
        </w:tc>
        <w:tc>
          <w:tcPr>
            <w:tcW w:type="dxa" w:w="6860"/>
          </w:tcPr>
          <w:p>
            <w:pPr>
              <w:bidi w:val="1"/>
              <w:spacing w:before="0" w:after="0" w:line="276" w:lineRule="auto"/>
            </w:pPr>
            <w:r>
              <w:rPr>
                <w:rFonts w:ascii="Arial" w:hAnsi="Arial" w:cs="Arial" w:eastAsia="Arial"/>
                <w:b/>
                <w:bCs/>
                <w:color w:val="0E1E3A"/>
                <w:sz w:val="18"/>
                <w:szCs w:val="18"/>
                <w:rtl/>
              </w:rPr>
              <w:t>4700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بلومبرغ</w:t>
            </w:r>
          </w:p>
        </w:tc>
        <w:tc>
          <w:tcPr>
            <w:tcW w:type="dxa" w:w="6860"/>
          </w:tcPr>
          <w:p>
            <w:pPr>
              <w:bidi w:val="1"/>
              <w:spacing w:before="0" w:after="0" w:line="276" w:lineRule="auto"/>
            </w:pPr>
            <w:r>
              <w:rPr>
                <w:rFonts w:ascii="Arial" w:hAnsi="Arial" w:cs="Arial" w:eastAsia="Arial"/>
                <w:b/>
                <w:bCs/>
                <w:color w:val="0E1E3A"/>
                <w:sz w:val="18"/>
                <w:szCs w:val="18"/>
                <w:rtl/>
              </w:rPr>
              <w:t>AKDICIF:AB</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نوع الصندوق</w:t>
            </w:r>
          </w:p>
        </w:tc>
        <w:tc>
          <w:tcPr>
            <w:tcW w:type="dxa" w:w="6860"/>
          </w:tcPr>
          <w:p>
            <w:pPr>
              <w:bidi w:val="1"/>
              <w:spacing w:before="0" w:after="0" w:line="276" w:lineRule="auto"/>
            </w:pPr>
            <w:r>
              <w:rPr>
                <w:rFonts w:ascii="Arial" w:hAnsi="Arial" w:cs="Arial" w:eastAsia="Arial"/>
                <w:b/>
                <w:bCs/>
                <w:color w:val="0E1E3A"/>
                <w:sz w:val="18"/>
                <w:szCs w:val="18"/>
                <w:rtl/>
              </w:rPr>
              <w:t>صندوق استثمار متداول مغلق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تاريخ الإدراج</w:t>
            </w:r>
          </w:p>
        </w:tc>
        <w:tc>
          <w:tcPr>
            <w:tcW w:type="dxa" w:w="6860"/>
          </w:tcPr>
          <w:p>
            <w:pPr>
              <w:bidi w:val="1"/>
              <w:spacing w:before="0" w:after="0" w:line="276" w:lineRule="auto"/>
            </w:pPr>
            <w:r>
              <w:rPr>
                <w:rFonts w:ascii="Arial" w:hAnsi="Arial" w:cs="Arial" w:eastAsia="Arial"/>
                <w:b/>
                <w:bCs/>
                <w:color w:val="0E1E3A"/>
                <w:sz w:val="18"/>
                <w:szCs w:val="18"/>
                <w:rtl/>
              </w:rPr>
              <w:t>19 يناير 2021م</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مدة الصندوق</w:t>
            </w:r>
          </w:p>
        </w:tc>
        <w:tc>
          <w:tcPr>
            <w:tcW w:type="dxa" w:w="6860"/>
          </w:tcPr>
          <w:p>
            <w:pPr>
              <w:bidi w:val="1"/>
              <w:spacing w:before="0" w:after="0" w:line="276" w:lineRule="auto"/>
            </w:pPr>
            <w:r>
              <w:rPr>
                <w:rFonts w:ascii="Arial" w:hAnsi="Arial" w:cs="Arial" w:eastAsia="Arial"/>
                <w:b/>
                <w:bCs/>
                <w:color w:val="0E1E3A"/>
                <w:sz w:val="18"/>
                <w:szCs w:val="18"/>
                <w:rtl/>
              </w:rPr>
              <w:t>99 سنة تبدأ من تاريخ الإدراج، قابلة للتمديد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الوحدة</w:t>
            </w:r>
          </w:p>
        </w:tc>
        <w:tc>
          <w:tcPr>
            <w:tcW w:type="dxa" w:w="6860"/>
          </w:tcPr>
          <w:p>
            <w:pPr>
              <w:bidi w:val="1"/>
              <w:spacing w:before="0" w:after="0" w:line="276" w:lineRule="auto"/>
            </w:pPr>
            <w:r>
              <w:rPr>
                <w:rFonts w:ascii="Arial" w:hAnsi="Arial" w:cs="Arial" w:eastAsia="Arial"/>
                <w:b/>
                <w:bCs/>
                <w:color w:val="0E1E3A"/>
                <w:sz w:val="18"/>
                <w:szCs w:val="18"/>
                <w:rtl/>
              </w:rPr>
              <w:t>9.7756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أصول الصندوق *</w:t>
            </w:r>
          </w:p>
        </w:tc>
        <w:tc>
          <w:tcPr>
            <w:tcW w:type="dxa" w:w="6860"/>
          </w:tcPr>
          <w:p>
            <w:pPr>
              <w:bidi w:val="1"/>
              <w:spacing w:before="0" w:after="0" w:line="276" w:lineRule="auto"/>
            </w:pPr>
            <w:r>
              <w:rPr>
                <w:rFonts w:ascii="Arial" w:hAnsi="Arial" w:cs="Arial" w:eastAsia="Arial"/>
                <w:b/>
                <w:bCs/>
                <w:color w:val="0E1E3A"/>
                <w:sz w:val="18"/>
                <w:szCs w:val="18"/>
                <w:rtl/>
              </w:rPr>
              <w:t>555,514,335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رأس مال الصندوق كما في تاريخ الإدراج</w:t>
            </w:r>
          </w:p>
        </w:tc>
        <w:tc>
          <w:tcPr>
            <w:tcW w:type="dxa" w:w="6860"/>
          </w:tcPr>
          <w:p>
            <w:pPr>
              <w:bidi w:val="1"/>
              <w:spacing w:before="0" w:after="0" w:line="276" w:lineRule="auto"/>
            </w:pPr>
            <w:r>
              <w:rPr>
                <w:rFonts w:ascii="Arial" w:hAnsi="Arial" w:cs="Arial" w:eastAsia="Arial"/>
                <w:b/>
                <w:bCs/>
                <w:color w:val="0E1E3A"/>
                <w:sz w:val="18"/>
                <w:szCs w:val="18"/>
                <w:rtl/>
              </w:rPr>
              <w:t>472,814,700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مبلغ التمويل *</w:t>
            </w:r>
          </w:p>
        </w:tc>
        <w:tc>
          <w:tcPr>
            <w:tcW w:type="dxa" w:w="6860"/>
          </w:tcPr>
          <w:p>
            <w:pPr>
              <w:bidi w:val="1"/>
              <w:spacing w:before="0" w:after="0" w:line="276" w:lineRule="auto"/>
            </w:pPr>
            <w:r>
              <w:rPr>
                <w:rFonts w:ascii="Arial" w:hAnsi="Arial" w:cs="Arial" w:eastAsia="Arial"/>
                <w:b/>
                <w:bCs/>
                <w:color w:val="0E1E3A"/>
                <w:sz w:val="18"/>
                <w:szCs w:val="18"/>
                <w:rtl/>
              </w:rPr>
              <w:t>91,686,496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‎16.50%‎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قيمة صافي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‎19.84%‎</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ونسبة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مستوى المخاطر</w:t>
            </w:r>
          </w:p>
        </w:tc>
        <w:tc>
          <w:tcPr>
            <w:tcW w:type="dxa" w:w="6860"/>
          </w:tcPr>
          <w:p>
            <w:pPr>
              <w:bidi w:val="1"/>
              <w:spacing w:before="0" w:after="0" w:line="276" w:lineRule="auto"/>
            </w:pPr>
            <w:r>
              <w:rPr>
                <w:rFonts w:ascii="Arial" w:hAnsi="Arial" w:cs="Arial" w:eastAsia="Arial"/>
                <w:b/>
                <w:bCs/>
                <w:color w:val="0E1E3A"/>
                <w:sz w:val="18"/>
                <w:szCs w:val="18"/>
                <w:rtl/>
              </w:rPr>
              <w:t>مرتفع</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عملة الصندوق</w:t>
            </w:r>
          </w:p>
        </w:tc>
        <w:tc>
          <w:tcPr>
            <w:tcW w:type="dxa" w:w="6860"/>
          </w:tcPr>
          <w:p>
            <w:pPr>
              <w:bidi w:val="1"/>
              <w:spacing w:before="0" w:after="0" w:line="276" w:lineRule="auto"/>
            </w:pPr>
            <w:r>
              <w:rPr>
                <w:rFonts w:ascii="Arial" w:hAnsi="Arial" w:cs="Arial" w:eastAsia="Arial"/>
                <w:b/>
                <w:bCs/>
                <w:color w:val="0E1E3A"/>
                <w:sz w:val="18"/>
                <w:szCs w:val="18"/>
                <w:rtl/>
              </w:rPr>
              <w:t>ريال سعودي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مستشار الاستثمار ومدير الصندوق من الباطن</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رسوم الإدارة للصناديق المستثمر فيها</w:t>
            </w:r>
          </w:p>
        </w:tc>
        <w:tc>
          <w:tcPr>
            <w:tcW w:type="dxa" w:w="6860"/>
          </w:tcPr>
          <w:p>
            <w:pPr>
              <w:bidi w:val="1"/>
              <w:spacing w:before="0" w:after="0" w:line="276" w:lineRule="auto"/>
            </w:pPr>
            <w:r>
              <w:rPr>
                <w:rFonts w:ascii="Arial" w:hAnsi="Arial" w:cs="Arial" w:eastAsia="Arial"/>
                <w:b/>
                <w:bCs/>
                <w:color w:val="0E1E3A"/>
                <w:sz w:val="18"/>
                <w:szCs w:val="18"/>
              </w:rPr>
              <w:t>‎0.34%‎</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30 سبتمبر 2022م (غير مدققة).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4" name="Picture 902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نسب تركز الاستثمارات في محفظة الصندوق</w:t>
      </w:r>
    </w:p>
    <w:p>
      <w:pPr>
        <w:bidi w:val="1"/>
        <w:spacing w:before="0" w:after="80" w:line="240" w:lineRule="auto"/>
        <w:jc w:val="center"/>
      </w:pPr>
      <w:r>
        <w:drawing>
          <wp:inline xmlns:a="http://schemas.openxmlformats.org/drawingml/2006/main" xmlns:pic="http://schemas.openxmlformats.org/drawingml/2006/picture">
            <wp:extent cx="6336000" cy="1883676"/>
            <wp:docPr id="5" name="Picture 9027"/>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83676"/>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 يوضح الرسم البياني أكبر الاستثمارات في الصندوق والتوزيع القطاعي للاستثمارات معًا.</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6" name="Picture 902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المؤشرات المالية*</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فترات التقييم</w:t>
            </w:r>
          </w:p>
        </w:tc>
        <w:tc>
          <w:tcPr>
            <w:tcW w:type="dxa" w:w="6860"/>
          </w:tcPr>
          <w:p>
            <w:pPr>
              <w:bidi w:val="1"/>
              <w:spacing w:before="0" w:after="0" w:line="276" w:lineRule="auto"/>
            </w:pPr>
            <w:r>
              <w:rPr>
                <w:rFonts w:ascii="Arial" w:hAnsi="Arial" w:cs="Arial" w:eastAsia="Arial"/>
                <w:b/>
                <w:bCs/>
                <w:color w:val="0E1E3A"/>
                <w:sz w:val="18"/>
                <w:szCs w:val="18"/>
                <w:rtl/>
              </w:rPr>
              <w:t>ربع سنويًا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tl/>
              </w:rPr>
              <w:t>555,514,335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أصول وحدات الصندوق *</w:t>
            </w:r>
          </w:p>
        </w:tc>
        <w:tc>
          <w:tcPr>
            <w:tcW w:type="dxa" w:w="6860"/>
          </w:tcPr>
          <w:p>
            <w:pPr>
              <w:bidi w:val="1"/>
              <w:spacing w:before="0" w:after="0" w:line="276" w:lineRule="auto"/>
            </w:pPr>
            <w:r>
              <w:rPr>
                <w:rFonts w:ascii="Arial" w:hAnsi="Arial" w:cs="Arial" w:eastAsia="Arial"/>
                <w:b/>
                <w:bCs/>
                <w:color w:val="0E1E3A"/>
                <w:sz w:val="18"/>
                <w:szCs w:val="18"/>
                <w:rtl/>
              </w:rPr>
              <w:t>462,205,513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مبلغ ونسبة مصاريف التعامل للربع المعني إلى متوسط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المصروفات والأتعاب الإجمالية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‎0.37%‎</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تكاليف الصندوق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‎0.52%‎</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تكاليف الصندوق إلى متوسط صافي أصول الصندوق ***</w:t>
            </w:r>
          </w:p>
        </w:tc>
        <w:tc>
          <w:tcPr>
            <w:tcW w:type="dxa" w:w="6860"/>
          </w:tcPr>
          <w:p>
            <w:pPr>
              <w:bidi w:val="1"/>
              <w:spacing w:before="0" w:after="0" w:line="276" w:lineRule="auto"/>
            </w:pPr>
            <w:r>
              <w:rPr>
                <w:rFonts w:ascii="Arial" w:hAnsi="Arial" w:cs="Arial" w:eastAsia="Arial"/>
                <w:b/>
                <w:bCs/>
                <w:color w:val="0E1E3A"/>
                <w:sz w:val="18"/>
                <w:szCs w:val="18"/>
              </w:rPr>
              <w:t>‎0.62%‎</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المصروفات والتكاليف والأتعاب الإجمالية للربع المعني</w:t>
            </w:r>
          </w:p>
        </w:tc>
        <w:tc>
          <w:tcPr>
            <w:tcW w:type="dxa" w:w="6860"/>
          </w:tcPr>
          <w:p>
            <w:pPr>
              <w:bidi w:val="1"/>
              <w:spacing w:before="0" w:after="0" w:line="276" w:lineRule="auto"/>
            </w:pPr>
            <w:r>
              <w:rPr>
                <w:rFonts w:ascii="Arial" w:hAnsi="Arial" w:cs="Arial" w:eastAsia="Arial"/>
                <w:b/>
                <w:bCs/>
                <w:color w:val="0E1E3A"/>
                <w:sz w:val="18"/>
                <w:szCs w:val="18"/>
                <w:rtl/>
              </w:rPr>
              <w:t>2,890,637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المصروفات والأتعاب الإجمالية للربع المعني إلى متوسط صافي أصول الصندوق **</w:t>
            </w:r>
          </w:p>
        </w:tc>
        <w:tc>
          <w:tcPr>
            <w:tcW w:type="dxa" w:w="6860"/>
          </w:tcPr>
          <w:p>
            <w:pPr>
              <w:bidi w:val="1"/>
              <w:spacing w:before="0" w:after="0" w:line="276" w:lineRule="auto"/>
            </w:pPr>
            <w:r>
              <w:rPr>
                <w:rFonts w:ascii="Arial" w:hAnsi="Arial" w:cs="Arial" w:eastAsia="Arial"/>
                <w:b/>
                <w:bCs/>
                <w:color w:val="0E1E3A"/>
                <w:sz w:val="18"/>
                <w:szCs w:val="18"/>
              </w:rPr>
              <w:t>‎0.43%‎</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30 سبتمبر 2022م (غير مدققة).</w:t>
      </w:r>
      <w:r>
        <w:br/>
      </w:r>
      <w:r>
        <w:rPr>
          <w:rFonts w:ascii="Arial" w:hAnsi="Arial" w:cs="Arial" w:eastAsia="Arial"/>
          <w:color w:val="5A6478"/>
          <w:sz w:val="17"/>
          <w:szCs w:val="17"/>
          <w:rtl/>
        </w:rPr>
        <w:t>** مصروفات وأتعاب الصندوق هي كافة مصروفات الصندوق خلال الربع المعني ما عدا تكلفة التمويل.</w:t>
      </w:r>
      <w:r>
        <w:br/>
      </w:r>
      <w:r>
        <w:rPr>
          <w:rFonts w:ascii="Arial" w:hAnsi="Arial" w:cs="Arial" w:eastAsia="Arial"/>
          <w:color w:val="5A6478"/>
          <w:sz w:val="17"/>
          <w:szCs w:val="17"/>
          <w:rtl/>
        </w:rPr>
        <w:t>*** تكاليف الصندوق هي كافة أتعاب ومصروفات الصندوق متضمنة تكاليف التمويل.</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7" name="Picture 902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الاستثمارات حسب الموقع الجغرافي</w:t>
      </w:r>
    </w:p>
    <w:p>
      <w:pPr>
        <w:bidi w:val="1"/>
        <w:spacing w:before="0" w:after="80" w:line="240" w:lineRule="auto"/>
        <w:jc w:val="center"/>
      </w:pPr>
      <w:r>
        <w:drawing>
          <wp:inline xmlns:a="http://schemas.openxmlformats.org/drawingml/2006/main" xmlns:pic="http://schemas.openxmlformats.org/drawingml/2006/picture">
            <wp:extent cx="6336000" cy="1883676"/>
            <wp:docPr id="8" name="Picture 9030"/>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83676"/>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9" name="Picture 903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أصول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التمويل التجاري</w:t>
            </w:r>
          </w:p>
        </w:tc>
        <w:tc>
          <w:tcPr>
            <w:tcW w:type="dxa" w:w="6860"/>
          </w:tcPr>
          <w:p>
            <w:pPr>
              <w:bidi w:val="1"/>
              <w:spacing w:before="0" w:after="0" w:line="276" w:lineRule="auto"/>
            </w:pPr>
            <w:r>
              <w:rPr>
                <w:rFonts w:ascii="Arial" w:hAnsi="Arial" w:cs="Arial" w:eastAsia="Arial"/>
                <w:b/>
                <w:bCs/>
                <w:color w:val="0E1E3A"/>
                <w:sz w:val="18"/>
                <w:szCs w:val="18"/>
                <w:rtl/>
              </w:rPr>
              <w:t>112,093,705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الإجارة</w:t>
            </w:r>
          </w:p>
        </w:tc>
        <w:tc>
          <w:tcPr>
            <w:tcW w:type="dxa" w:w="6860"/>
          </w:tcPr>
          <w:p>
            <w:pPr>
              <w:bidi w:val="1"/>
              <w:spacing w:before="0" w:after="0" w:line="276" w:lineRule="auto"/>
            </w:pPr>
            <w:r>
              <w:rPr>
                <w:rFonts w:ascii="Arial" w:hAnsi="Arial" w:cs="Arial" w:eastAsia="Arial"/>
                <w:b/>
                <w:bCs/>
                <w:color w:val="0E1E3A"/>
                <w:sz w:val="18"/>
                <w:szCs w:val="18"/>
                <w:rtl/>
              </w:rPr>
              <w:t>198,294,542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الصكوك</w:t>
            </w:r>
          </w:p>
        </w:tc>
        <w:tc>
          <w:tcPr>
            <w:tcW w:type="dxa" w:w="6860"/>
          </w:tcPr>
          <w:p>
            <w:pPr>
              <w:bidi w:val="1"/>
              <w:spacing w:before="0" w:after="0" w:line="276" w:lineRule="auto"/>
            </w:pPr>
            <w:r>
              <w:rPr>
                <w:rFonts w:ascii="Arial" w:hAnsi="Arial" w:cs="Arial" w:eastAsia="Arial"/>
                <w:b/>
                <w:bCs/>
                <w:color w:val="0E1E3A"/>
                <w:sz w:val="18"/>
                <w:szCs w:val="18"/>
                <w:rtl/>
              </w:rPr>
              <w:t>67,155,550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صناديق الدخل</w:t>
            </w:r>
          </w:p>
        </w:tc>
        <w:tc>
          <w:tcPr>
            <w:tcW w:type="dxa" w:w="6860"/>
          </w:tcPr>
          <w:p>
            <w:pPr>
              <w:bidi w:val="1"/>
              <w:spacing w:before="0" w:after="0" w:line="276" w:lineRule="auto"/>
            </w:pPr>
            <w:r>
              <w:rPr>
                <w:rFonts w:ascii="Arial" w:hAnsi="Arial" w:cs="Arial" w:eastAsia="Arial"/>
                <w:b/>
                <w:bCs/>
                <w:color w:val="0E1E3A"/>
                <w:sz w:val="18"/>
                <w:szCs w:val="18"/>
                <w:rtl/>
              </w:rPr>
              <w:t>138,679,206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النقد وما في حكمه</w:t>
            </w:r>
          </w:p>
        </w:tc>
        <w:tc>
          <w:tcPr>
            <w:tcW w:type="dxa" w:w="6860"/>
          </w:tcPr>
          <w:p>
            <w:pPr>
              <w:bidi w:val="1"/>
              <w:spacing w:before="0" w:after="0" w:line="276" w:lineRule="auto"/>
            </w:pPr>
            <w:r>
              <w:rPr>
                <w:rFonts w:ascii="Arial" w:hAnsi="Arial" w:cs="Arial" w:eastAsia="Arial"/>
                <w:b/>
                <w:bCs/>
                <w:color w:val="0E1E3A"/>
                <w:sz w:val="18"/>
                <w:szCs w:val="18"/>
                <w:rtl/>
              </w:rPr>
              <w:t>39,291,332 ر.س.</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0" name="Picture 903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صافي قيمة الأصول وسعر الوحدة</w:t>
      </w:r>
    </w:p>
    <w:p>
      <w:pPr>
        <w:bidi w:val="1"/>
        <w:spacing w:before="0" w:after="80" w:line="240" w:lineRule="auto"/>
        <w:jc w:val="center"/>
      </w:pPr>
      <w:r>
        <w:drawing>
          <wp:inline xmlns:a="http://schemas.openxmlformats.org/drawingml/2006/main" xmlns:pic="http://schemas.openxmlformats.org/drawingml/2006/picture">
            <wp:extent cx="6336000" cy="3091892"/>
            <wp:docPr id="11" name="Picture 9033"/>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3091892"/>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2" name="Picture 903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القيمة السوقية للصندوق *</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الإدراج</w:t>
            </w:r>
          </w:p>
        </w:tc>
        <w:tc>
          <w:tcPr>
            <w:tcW w:type="dxa" w:w="6860"/>
          </w:tcPr>
          <w:p>
            <w:pPr>
              <w:bidi w:val="1"/>
              <w:spacing w:before="0" w:after="0" w:line="276" w:lineRule="auto"/>
            </w:pPr>
            <w:r>
              <w:rPr>
                <w:rFonts w:ascii="Arial" w:hAnsi="Arial" w:cs="Arial" w:eastAsia="Arial"/>
                <w:b/>
                <w:bCs/>
                <w:color w:val="0E1E3A"/>
                <w:sz w:val="18"/>
                <w:szCs w:val="18"/>
                <w:rtl/>
              </w:rPr>
              <w:t>472,814,700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مارس 2021م</w:t>
            </w:r>
          </w:p>
        </w:tc>
        <w:tc>
          <w:tcPr>
            <w:tcW w:type="dxa" w:w="6860"/>
          </w:tcPr>
          <w:p>
            <w:pPr>
              <w:bidi w:val="1"/>
              <w:spacing w:before="0" w:after="0" w:line="276" w:lineRule="auto"/>
            </w:pPr>
            <w:r>
              <w:rPr>
                <w:rFonts w:ascii="Arial" w:hAnsi="Arial" w:cs="Arial" w:eastAsia="Arial"/>
                <w:b/>
                <w:bCs/>
                <w:color w:val="0E1E3A"/>
                <w:sz w:val="18"/>
                <w:szCs w:val="18"/>
                <w:rtl/>
              </w:rPr>
              <w:t>428,370,118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يونيو 2021م</w:t>
            </w:r>
          </w:p>
        </w:tc>
        <w:tc>
          <w:tcPr>
            <w:tcW w:type="dxa" w:w="6860"/>
          </w:tcPr>
          <w:p>
            <w:pPr>
              <w:bidi w:val="1"/>
              <w:spacing w:before="0" w:after="0" w:line="276" w:lineRule="auto"/>
            </w:pPr>
            <w:r>
              <w:rPr>
                <w:rFonts w:ascii="Arial" w:hAnsi="Arial" w:cs="Arial" w:eastAsia="Arial"/>
                <w:b/>
                <w:bCs/>
                <w:color w:val="0E1E3A"/>
                <w:sz w:val="18"/>
                <w:szCs w:val="18"/>
                <w:rtl/>
              </w:rPr>
              <w:t>433,098,265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سبتمبر 2021م</w:t>
            </w:r>
          </w:p>
        </w:tc>
        <w:tc>
          <w:tcPr>
            <w:tcW w:type="dxa" w:w="6860"/>
          </w:tcPr>
          <w:p>
            <w:pPr>
              <w:bidi w:val="1"/>
              <w:spacing w:before="0" w:after="0" w:line="276" w:lineRule="auto"/>
            </w:pPr>
            <w:r>
              <w:rPr>
                <w:rFonts w:ascii="Arial" w:hAnsi="Arial" w:cs="Arial" w:eastAsia="Arial"/>
                <w:b/>
                <w:bCs/>
                <w:color w:val="0E1E3A"/>
                <w:sz w:val="18"/>
                <w:szCs w:val="18"/>
                <w:rtl/>
              </w:rPr>
              <w:t>427,897,304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ديسمبر 2021م</w:t>
            </w:r>
          </w:p>
        </w:tc>
        <w:tc>
          <w:tcPr>
            <w:tcW w:type="dxa" w:w="6860"/>
          </w:tcPr>
          <w:p>
            <w:pPr>
              <w:bidi w:val="1"/>
              <w:spacing w:before="0" w:after="0" w:line="276" w:lineRule="auto"/>
            </w:pPr>
            <w:r>
              <w:rPr>
                <w:rFonts w:ascii="Arial" w:hAnsi="Arial" w:cs="Arial" w:eastAsia="Arial"/>
                <w:b/>
                <w:bCs/>
                <w:color w:val="0E1E3A"/>
                <w:sz w:val="18"/>
                <w:szCs w:val="18"/>
                <w:rtl/>
              </w:rPr>
              <w:t>409,930,345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مارس 2022م</w:t>
            </w:r>
          </w:p>
        </w:tc>
        <w:tc>
          <w:tcPr>
            <w:tcW w:type="dxa" w:w="6860"/>
          </w:tcPr>
          <w:p>
            <w:pPr>
              <w:bidi w:val="1"/>
              <w:spacing w:before="0" w:after="0" w:line="276" w:lineRule="auto"/>
            </w:pPr>
            <w:r>
              <w:rPr>
                <w:rFonts w:ascii="Arial" w:hAnsi="Arial" w:cs="Arial" w:eastAsia="Arial"/>
                <w:b/>
                <w:bCs/>
                <w:color w:val="0E1E3A"/>
                <w:sz w:val="18"/>
                <w:szCs w:val="18"/>
                <w:rtl/>
              </w:rPr>
              <w:t>402,838,124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يونيو 2022م</w:t>
            </w:r>
          </w:p>
        </w:tc>
        <w:tc>
          <w:tcPr>
            <w:tcW w:type="dxa" w:w="6860"/>
          </w:tcPr>
          <w:p>
            <w:pPr>
              <w:bidi w:val="1"/>
              <w:spacing w:before="0" w:after="0" w:line="276" w:lineRule="auto"/>
            </w:pPr>
            <w:r>
              <w:rPr>
                <w:rFonts w:ascii="Arial" w:hAnsi="Arial" w:cs="Arial" w:eastAsia="Arial"/>
                <w:b/>
                <w:bCs/>
                <w:color w:val="0E1E3A"/>
                <w:sz w:val="18"/>
                <w:szCs w:val="18"/>
                <w:rtl/>
              </w:rPr>
              <w:t>342,317,843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سبتمبر 2022م</w:t>
            </w:r>
          </w:p>
        </w:tc>
        <w:tc>
          <w:tcPr>
            <w:tcW w:type="dxa" w:w="6860"/>
          </w:tcPr>
          <w:p>
            <w:pPr>
              <w:bidi w:val="1"/>
              <w:spacing w:before="0" w:after="0" w:line="276" w:lineRule="auto"/>
            </w:pPr>
            <w:r>
              <w:rPr>
                <w:rFonts w:ascii="Arial" w:hAnsi="Arial" w:cs="Arial" w:eastAsia="Arial"/>
                <w:b/>
                <w:bCs/>
                <w:color w:val="0E1E3A"/>
                <w:sz w:val="18"/>
                <w:szCs w:val="18"/>
                <w:rtl/>
              </w:rPr>
              <w:t>339,480,955 ر.س.</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بناءً على سعر الوحدة.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3" name="Picture 903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وحدات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بنهاية الربع الثالث (30 سبتمبر 2022م)</w:t>
            </w:r>
          </w:p>
        </w:tc>
        <w:tc>
          <w:tcPr>
            <w:tcW w:type="dxa" w:w="6860"/>
          </w:tcPr>
          <w:p>
            <w:pPr>
              <w:bidi w:val="1"/>
              <w:spacing w:before="0" w:after="0" w:line="276" w:lineRule="auto"/>
            </w:pPr>
            <w:r>
              <w:rPr>
                <w:rFonts w:ascii="Arial" w:hAnsi="Arial" w:cs="Arial" w:eastAsia="Arial"/>
                <w:b/>
                <w:bCs/>
                <w:color w:val="0E1E3A"/>
                <w:sz w:val="18"/>
                <w:szCs w:val="18"/>
                <w:rtl/>
              </w:rPr>
              <w:t>7.18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التغير في سعر الوحدة مقارنةً بالربع السابق (من تاريخ 30 يونيو 2022م إلى 30 سبتمبر 2022م)*</w:t>
            </w:r>
          </w:p>
        </w:tc>
        <w:tc>
          <w:tcPr>
            <w:tcW w:type="dxa" w:w="6860"/>
          </w:tcPr>
          <w:p>
            <w:pPr>
              <w:bidi w:val="1"/>
              <w:spacing w:before="0" w:after="0" w:line="276" w:lineRule="auto"/>
            </w:pPr>
            <w:r>
              <w:rPr>
                <w:rFonts w:ascii="Arial" w:hAnsi="Arial" w:cs="Arial" w:eastAsia="Arial"/>
                <w:b/>
                <w:bCs/>
                <w:color w:val="0E1E3A"/>
                <w:sz w:val="18"/>
                <w:szCs w:val="18"/>
              </w:rPr>
              <w:t>‎-0.83%‎</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الإدراج (من تاريخ الإدراج إلى نهاية الربع الثالث 2022م)</w:t>
            </w:r>
          </w:p>
        </w:tc>
        <w:tc>
          <w:tcPr>
            <w:tcW w:type="dxa" w:w="6860"/>
          </w:tcPr>
          <w:p>
            <w:pPr>
              <w:bidi w:val="1"/>
              <w:spacing w:before="0" w:after="0" w:line="276" w:lineRule="auto"/>
            </w:pPr>
            <w:r>
              <w:rPr>
                <w:rFonts w:ascii="Arial" w:hAnsi="Arial" w:cs="Arial" w:eastAsia="Arial"/>
                <w:b/>
                <w:bCs/>
                <w:color w:val="0E1E3A"/>
                <w:sz w:val="18"/>
                <w:szCs w:val="18"/>
              </w:rPr>
              <w:t>‎-28.20%‎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أعلى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9.05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أدنى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7.11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الوحدات القائمة</w:t>
            </w:r>
          </w:p>
        </w:tc>
        <w:tc>
          <w:tcPr>
            <w:tcW w:type="dxa" w:w="6860"/>
          </w:tcPr>
          <w:p>
            <w:pPr>
              <w:bidi w:val="1"/>
              <w:spacing w:before="0" w:after="0" w:line="276" w:lineRule="auto"/>
            </w:pPr>
            <w:r>
              <w:rPr>
                <w:rFonts w:ascii="Arial" w:hAnsi="Arial" w:cs="Arial" w:eastAsia="Arial"/>
                <w:b/>
                <w:bCs/>
                <w:color w:val="0E1E3A"/>
                <w:sz w:val="18"/>
                <w:szCs w:val="18"/>
                <w:rtl/>
              </w:rPr>
              <w:t>47,281,470 وحدة</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سعر الوحدة بتاريخ 30 يونيو 2022م = 7.24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4" name="Picture 9036"/>
            <wp:cNvGraphicFramePr>
              <a:graphicFrameLocks noChangeAspect="1"/>
            </wp:cNvGraphicFramePr>
            <a:graphic>
              <a:graphicData uri="http://schemas.openxmlformats.org/drawingml/2006/picture">
                <pic:pic>
                  <pic:nvPicPr>
                    <pic:cNvPr id="0" name="ico_737e94dc9d8d67dbf235ae564951a5f7.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الأرباح</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سياسة توزيع الأرباح</w:t>
            </w:r>
          </w:p>
        </w:tc>
        <w:tc>
          <w:tcPr>
            <w:tcW w:type="dxa" w:w="6860"/>
          </w:tcPr>
          <w:p>
            <w:pPr>
              <w:bidi w:val="1"/>
              <w:spacing w:before="0" w:after="0" w:line="276" w:lineRule="auto"/>
            </w:pPr>
            <w:r>
              <w:rPr>
                <w:rFonts w:ascii="Arial" w:hAnsi="Arial" w:cs="Arial" w:eastAsia="Arial"/>
                <w:b/>
                <w:bCs/>
                <w:color w:val="0E1E3A"/>
                <w:sz w:val="18"/>
                <w:szCs w:val="18"/>
                <w:rtl/>
              </w:rPr>
              <w:t xml:space="preserve">سيقوم مدير الصندوق بتوزيع </w:t>
            </w:r>
            <w:r>
              <w:rPr>
                <w:rFonts w:ascii="Arial" w:hAnsi="Arial" w:cs="Arial" w:eastAsia="Arial"/>
                <w:b/>
                <w:bCs/>
                <w:color w:val="0E1E3A"/>
                <w:sz w:val="18"/>
                <w:szCs w:val="18"/>
              </w:rPr>
              <w:t>‎100%‎</w:t>
            </w:r>
            <w:r>
              <w:rPr>
                <w:rFonts w:ascii="Arial" w:hAnsi="Arial" w:cs="Arial" w:eastAsia="Arial"/>
                <w:b/>
                <w:bCs/>
                <w:color w:val="0E1E3A"/>
                <w:sz w:val="18"/>
                <w:szCs w:val="18"/>
                <w:rtl/>
              </w:rPr>
              <w:t xml:space="preserve"> من الأرباح نصف السنوية المستلمة من عوائد استثمارات الصندوق بعد خصم المصروفات من مالكي الوحدات مرتين في السنة، على أن تكون التوزيعات خلال شهري أغسطس وفبراير سنويًا.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عن الربع المعني*</w:t>
            </w:r>
          </w:p>
        </w:tc>
        <w:tc>
          <w:tcPr>
            <w:tcW w:type="dxa" w:w="6860"/>
          </w:tcPr>
          <w:p>
            <w:pPr>
              <w:bidi w:val="1"/>
              <w:spacing w:before="0" w:after="0" w:line="276" w:lineRule="auto"/>
            </w:pPr>
            <w:r>
              <w:rPr>
                <w:rFonts w:ascii="Arial" w:hAnsi="Arial" w:cs="Arial" w:eastAsia="Arial"/>
                <w:b/>
                <w:bCs/>
                <w:color w:val="0E1E3A"/>
                <w:sz w:val="18"/>
                <w:szCs w:val="18"/>
                <w:rtl/>
              </w:rPr>
              <w:t>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عن آخر فترة نصف سنوية**</w:t>
            </w:r>
          </w:p>
        </w:tc>
        <w:tc>
          <w:tcPr>
            <w:tcW w:type="dxa" w:w="6860"/>
          </w:tcPr>
          <w:p>
            <w:pPr>
              <w:bidi w:val="1"/>
              <w:spacing w:before="0" w:after="0" w:line="276" w:lineRule="auto"/>
            </w:pPr>
            <w:r>
              <w:rPr>
                <w:rFonts w:ascii="Arial" w:hAnsi="Arial" w:cs="Arial" w:eastAsia="Arial"/>
                <w:b/>
                <w:bCs/>
                <w:color w:val="0E1E3A"/>
                <w:sz w:val="18"/>
                <w:szCs w:val="18"/>
                <w:rtl/>
              </w:rPr>
              <w:t>12,293,182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الربح الموزع عن آخر فترة نصف سنوية عن كل وحدة</w:t>
            </w:r>
          </w:p>
        </w:tc>
        <w:tc>
          <w:tcPr>
            <w:tcW w:type="dxa" w:w="6860"/>
          </w:tcPr>
          <w:p>
            <w:pPr>
              <w:bidi w:val="1"/>
              <w:spacing w:before="0" w:after="0" w:line="276" w:lineRule="auto"/>
            </w:pPr>
            <w:r>
              <w:rPr>
                <w:rFonts w:ascii="Arial" w:hAnsi="Arial" w:cs="Arial" w:eastAsia="Arial"/>
                <w:b/>
                <w:bCs/>
                <w:color w:val="0E1E3A"/>
                <w:sz w:val="18"/>
                <w:szCs w:val="18"/>
                <w:rtl/>
              </w:rPr>
              <w:t>0.26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في الربع المعني من سعر الوحدة الأولي</w:t>
            </w:r>
          </w:p>
        </w:tc>
        <w:tc>
          <w:tcPr>
            <w:tcW w:type="dxa" w:w="6860"/>
          </w:tcPr>
          <w:p>
            <w:pPr>
              <w:bidi w:val="1"/>
              <w:spacing w:before="0" w:after="0" w:line="276" w:lineRule="auto"/>
            </w:pPr>
            <w:r>
              <w:rPr>
                <w:rFonts w:ascii="Arial" w:hAnsi="Arial" w:cs="Arial" w:eastAsia="Arial"/>
                <w:b/>
                <w:bCs/>
                <w:color w:val="0E1E3A"/>
                <w:sz w:val="18"/>
                <w:szCs w:val="18"/>
              </w:rPr>
              <w:t>‎2.60%‎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على سعر الوحدة***</w:t>
            </w:r>
          </w:p>
        </w:tc>
        <w:tc>
          <w:tcPr>
            <w:tcW w:type="dxa" w:w="6860"/>
          </w:tcPr>
          <w:p>
            <w:pPr>
              <w:bidi w:val="1"/>
              <w:spacing w:before="0" w:after="0" w:line="276" w:lineRule="auto"/>
            </w:pPr>
            <w:r>
              <w:rPr>
                <w:rFonts w:ascii="Arial" w:hAnsi="Arial" w:cs="Arial" w:eastAsia="Arial"/>
                <w:b/>
                <w:bCs/>
                <w:color w:val="0E1E3A"/>
                <w:sz w:val="18"/>
                <w:szCs w:val="18"/>
              </w:rPr>
              <w:t>‎3.59%‎</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w:t>
            </w:r>
          </w:p>
        </w:tc>
        <w:tc>
          <w:tcPr>
            <w:tcW w:type="dxa" w:w="6860"/>
          </w:tcPr>
          <w:p>
            <w:pPr>
              <w:bidi w:val="1"/>
              <w:spacing w:before="0" w:after="0" w:line="276" w:lineRule="auto"/>
            </w:pPr>
            <w:r>
              <w:rPr>
                <w:rFonts w:ascii="Arial" w:hAnsi="Arial" w:cs="Arial" w:eastAsia="Arial"/>
                <w:b/>
                <w:bCs/>
                <w:color w:val="0E1E3A"/>
                <w:sz w:val="18"/>
                <w:szCs w:val="18"/>
                <w:rtl/>
              </w:rPr>
              <w:t>4,441,823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 على سعر الوحدة (30 سبتمبر 2022م)</w:t>
            </w:r>
          </w:p>
        </w:tc>
        <w:tc>
          <w:tcPr>
            <w:tcW w:type="dxa" w:w="6860"/>
          </w:tcPr>
          <w:p>
            <w:pPr>
              <w:bidi w:val="1"/>
              <w:spacing w:before="0" w:after="0" w:line="276" w:lineRule="auto"/>
            </w:pPr>
            <w:r>
              <w:rPr>
                <w:rFonts w:ascii="Arial" w:hAnsi="Arial" w:cs="Arial" w:eastAsia="Arial"/>
                <w:b/>
                <w:bCs/>
                <w:color w:val="0E1E3A"/>
                <w:sz w:val="18"/>
                <w:szCs w:val="18"/>
              </w:rPr>
              <w:t>‎1.31%‎</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من 1 يوليو 2022م إلى 30 سبتمبر 2022م.</w:t>
      </w:r>
      <w:r>
        <w:br/>
      </w:r>
      <w:r>
        <w:rPr>
          <w:rFonts w:ascii="Arial" w:hAnsi="Arial" w:cs="Arial" w:eastAsia="Arial"/>
          <w:color w:val="5A6478"/>
          <w:sz w:val="17"/>
          <w:szCs w:val="17"/>
          <w:rtl/>
        </w:rPr>
        <w:t>** من 1 يناير 2022م إلى 30 يونيو 2022م.</w:t>
      </w:r>
      <w:r>
        <w:br/>
      </w:r>
      <w:r>
        <w:rPr>
          <w:rFonts w:ascii="Arial" w:hAnsi="Arial" w:cs="Arial" w:eastAsia="Arial"/>
          <w:color w:val="5A6478"/>
          <w:sz w:val="17"/>
          <w:szCs w:val="17"/>
          <w:rtl/>
        </w:rPr>
        <w:t>*** سعر الوحدة بتاريخ التوزيع 30 يونيو 2022م = 7.24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5" name="Picture 903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أداء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المؤشر الاسترشادي</w:t>
            </w:r>
          </w:p>
        </w:tc>
        <w:tc>
          <w:tcPr>
            <w:tcW w:type="dxa" w:w="6860"/>
          </w:tcPr>
          <w:p>
            <w:pPr>
              <w:bidi w:val="1"/>
              <w:spacing w:before="0" w:after="0" w:line="276" w:lineRule="auto"/>
            </w:pPr>
            <w:r>
              <w:rPr>
                <w:rFonts w:ascii="Arial" w:hAnsi="Arial" w:cs="Arial" w:eastAsia="Arial"/>
                <w:b/>
                <w:bCs/>
                <w:color w:val="0E1E3A"/>
                <w:sz w:val="18"/>
                <w:szCs w:val="18"/>
                <w:rtl/>
              </w:rPr>
              <w:t>معدل (الليبور- LIBOR) لمدة 12 شهر زائد 300 نقطة أساس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الأولي (عند بداية الطرح)</w:t>
            </w:r>
          </w:p>
        </w:tc>
        <w:tc>
          <w:tcPr>
            <w:tcW w:type="dxa" w:w="6860"/>
          </w:tcPr>
          <w:p>
            <w:pPr>
              <w:bidi w:val="1"/>
              <w:spacing w:before="0" w:after="0" w:line="276" w:lineRule="auto"/>
            </w:pPr>
            <w:r>
              <w:rPr>
                <w:rFonts w:ascii="Arial" w:hAnsi="Arial" w:cs="Arial" w:eastAsia="Arial"/>
                <w:b/>
                <w:bCs/>
                <w:color w:val="0E1E3A"/>
                <w:sz w:val="18"/>
                <w:szCs w:val="18"/>
                <w:rtl/>
              </w:rPr>
              <w:t>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الفترة السابقة *</w:t>
            </w:r>
          </w:p>
        </w:tc>
        <w:tc>
          <w:tcPr>
            <w:tcW w:type="dxa" w:w="6860"/>
          </w:tcPr>
          <w:p>
            <w:pPr>
              <w:bidi w:val="1"/>
              <w:spacing w:before="0" w:after="0" w:line="276" w:lineRule="auto"/>
            </w:pPr>
            <w:r>
              <w:rPr>
                <w:rFonts w:ascii="Arial" w:hAnsi="Arial" w:cs="Arial" w:eastAsia="Arial"/>
                <w:b/>
                <w:bCs/>
                <w:color w:val="0E1E3A"/>
                <w:sz w:val="18"/>
                <w:szCs w:val="18"/>
              </w:rPr>
              <w:t>‎-0.83%‎</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البدء **</w:t>
            </w:r>
          </w:p>
        </w:tc>
        <w:tc>
          <w:tcPr>
            <w:tcW w:type="dxa" w:w="6860"/>
          </w:tcPr>
          <w:p>
            <w:pPr>
              <w:bidi w:val="1"/>
              <w:spacing w:before="0" w:after="0" w:line="276" w:lineRule="auto"/>
            </w:pPr>
            <w:r>
              <w:rPr>
                <w:rFonts w:ascii="Arial" w:hAnsi="Arial" w:cs="Arial" w:eastAsia="Arial"/>
                <w:b/>
                <w:bCs/>
                <w:color w:val="0E1E3A"/>
                <w:sz w:val="18"/>
                <w:szCs w:val="18"/>
              </w:rPr>
              <w:t>‎-28.20%‎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العائد الكلي منذ تاريخ البدء ***</w:t>
            </w:r>
          </w:p>
        </w:tc>
        <w:tc>
          <w:tcPr>
            <w:tcW w:type="dxa" w:w="6860"/>
          </w:tcPr>
          <w:p>
            <w:pPr>
              <w:bidi w:val="1"/>
              <w:spacing w:before="0" w:after="0" w:line="276" w:lineRule="auto"/>
            </w:pPr>
            <w:r>
              <w:rPr>
                <w:rFonts w:ascii="Arial" w:hAnsi="Arial" w:cs="Arial" w:eastAsia="Arial"/>
                <w:b/>
                <w:bCs/>
                <w:color w:val="0E1E3A"/>
                <w:sz w:val="18"/>
                <w:szCs w:val="18"/>
              </w:rPr>
              <w:t>‎-21.30%‎</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سعر الوحدة كما في 30 يونيو 2022م = 7.24 ر.س.</w:t>
      </w:r>
      <w:r>
        <w:br/>
      </w:r>
      <w:r>
        <w:rPr>
          <w:rFonts w:ascii="Arial" w:hAnsi="Arial" w:cs="Arial" w:eastAsia="Arial"/>
          <w:color w:val="5A6478"/>
          <w:sz w:val="17"/>
          <w:szCs w:val="17"/>
          <w:rtl/>
        </w:rPr>
        <w:t>** من تاريخ بدء الصندوق إلى نهاية الربع الثالث من العام 2022م.</w:t>
      </w:r>
      <w:r>
        <w:br/>
      </w:r>
      <w:r>
        <w:rPr>
          <w:rFonts w:ascii="Arial" w:hAnsi="Arial" w:cs="Arial" w:eastAsia="Arial"/>
          <w:color w:val="5A6478"/>
          <w:sz w:val="17"/>
          <w:szCs w:val="17"/>
          <w:rtl/>
        </w:rPr>
        <w:t>*** العائد الكلي = أداء سعر الوحدة + إجمالي الأرباح الموزعة (إن وجدت).</w:t>
      </w:r>
      <w:r>
        <w:br/>
      </w:r>
      <w:r>
        <w:rPr>
          <w:rFonts w:ascii="Arial" w:hAnsi="Arial" w:cs="Arial" w:eastAsia="Arial"/>
          <w:color w:val="5A6478"/>
          <w:sz w:val="17"/>
          <w:szCs w:val="17"/>
          <w:rtl/>
        </w:rPr>
        <w:t>يجب الإحاطة بأن سعر الوحدة في السوق المالية يخضع للارتفاع والانخفاض بناءً على عوامل السوق.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6" name="Picture 903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وصف المؤشر الاسترشادي للصندوق</w:t>
      </w:r>
    </w:p>
    <w:p>
      <w:pPr>
        <w:bidi w:val="1"/>
        <w:spacing w:before="0" w:after="80" w:line="312" w:lineRule="auto"/>
      </w:pPr>
      <w:r>
        <w:rPr>
          <w:rFonts w:ascii="Arial" w:hAnsi="Arial" w:cs="Arial" w:eastAsia="Arial"/>
          <w:color w:val="0E1E3A"/>
          <w:sz w:val="20"/>
          <w:szCs w:val="20"/>
          <w:rtl/>
        </w:rPr>
        <w:t>المؤشر الاسترشادي للصندوق هو مؤشر معدل (الليبور- LIBOR) لمدة 12 شهر زائد 300 نقطة أساس.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7" name="Picture 9039"/>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قياس الأداء*</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صندوق الخبير للدخل</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معدل (الليبور- LIBOR) لمدة 12 شهر زائد 300 نقطة أساس</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بداية الفترة*</w:t>
            </w:r>
          </w:p>
        </w:tc>
        <w:tc>
          <w:tcPr>
            <w:tcW w:type="dxa" w:w="3326"/>
          </w:tcPr>
          <w:p>
            <w:pPr>
              <w:bidi w:val="1"/>
              <w:spacing w:before="0" w:after="0" w:line="264" w:lineRule="auto"/>
            </w:pPr>
            <w:r>
              <w:rPr>
                <w:rFonts w:ascii="Arial" w:hAnsi="Arial" w:cs="Arial" w:eastAsia="Arial"/>
                <w:color w:val="0E1E3A"/>
                <w:sz w:val="17"/>
                <w:szCs w:val="17"/>
                <w:rtl/>
              </w:rPr>
              <w:t>10.0028</w:t>
            </w:r>
          </w:p>
        </w:tc>
        <w:tc>
          <w:tcPr>
            <w:tcW w:type="dxa" w:w="3326"/>
          </w:tcPr>
          <w:p>
            <w:pPr>
              <w:bidi w:val="1"/>
              <w:spacing w:before="0" w:after="0" w:line="264" w:lineRule="auto"/>
            </w:pPr>
            <w:r>
              <w:rPr>
                <w:rFonts w:ascii="Arial" w:hAnsi="Arial" w:cs="Arial" w:eastAsia="Arial"/>
                <w:color w:val="0E1E3A"/>
                <w:sz w:val="17"/>
                <w:szCs w:val="17"/>
                <w:rtl/>
              </w:rPr>
              <w:t>لا ينطبق</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نهاية الفترة**</w:t>
            </w:r>
          </w:p>
        </w:tc>
        <w:tc>
          <w:tcPr>
            <w:tcW w:type="dxa" w:w="3326"/>
          </w:tcPr>
          <w:p>
            <w:pPr>
              <w:bidi w:val="1"/>
              <w:spacing w:before="0" w:after="0" w:line="264" w:lineRule="auto"/>
            </w:pPr>
            <w:r>
              <w:rPr>
                <w:rFonts w:ascii="Arial" w:hAnsi="Arial" w:cs="Arial" w:eastAsia="Arial"/>
                <w:color w:val="0E1E3A"/>
                <w:sz w:val="17"/>
                <w:szCs w:val="17"/>
                <w:rtl/>
              </w:rPr>
              <w:t>9.7756</w:t>
            </w:r>
          </w:p>
        </w:tc>
        <w:tc>
          <w:tcPr>
            <w:tcW w:type="dxa" w:w="3326"/>
          </w:tcPr>
          <w:p>
            <w:pPr>
              <w:bidi w:val="1"/>
              <w:spacing w:before="0" w:after="0" w:line="264" w:lineRule="auto"/>
            </w:pPr>
            <w:r>
              <w:rPr>
                <w:rFonts w:ascii="Arial" w:hAnsi="Arial" w:cs="Arial" w:eastAsia="Arial"/>
                <w:color w:val="0E1E3A"/>
                <w:sz w:val="17"/>
                <w:szCs w:val="17"/>
                <w:rtl/>
              </w:rPr>
              <w:t>لا ينطبق</w:t>
            </w:r>
          </w:p>
        </w:tc>
      </w:tr>
      <w:tr>
        <w:tc>
          <w:tcPr>
            <w:tcW w:type="dxa" w:w="3326"/>
          </w:tcPr>
          <w:p>
            <w:pPr>
              <w:bidi w:val="1"/>
              <w:spacing w:before="0" w:after="0" w:line="264" w:lineRule="auto"/>
            </w:pPr>
            <w:r>
              <w:rPr>
                <w:rFonts w:ascii="Arial" w:hAnsi="Arial" w:cs="Arial" w:eastAsia="Arial"/>
                <w:color w:val="0E1E3A"/>
                <w:sz w:val="17"/>
                <w:szCs w:val="17"/>
                <w:rtl/>
              </w:rPr>
              <w:t>أداء الوحدة</w:t>
            </w:r>
          </w:p>
        </w:tc>
        <w:tc>
          <w:tcPr>
            <w:tcW w:type="dxa" w:w="3326"/>
          </w:tcPr>
          <w:p>
            <w:pPr>
              <w:bidi w:val="1"/>
              <w:spacing w:before="0" w:after="0" w:line="264" w:lineRule="auto"/>
            </w:pPr>
            <w:r>
              <w:rPr>
                <w:rFonts w:ascii="Arial" w:hAnsi="Arial" w:cs="Arial" w:eastAsia="Arial"/>
                <w:color w:val="0E1E3A"/>
                <w:sz w:val="17"/>
                <w:szCs w:val="17"/>
              </w:rPr>
              <w:t>‎-2.27%‎</w:t>
            </w:r>
          </w:p>
        </w:tc>
        <w:tc>
          <w:tcPr>
            <w:tcW w:type="dxa" w:w="3326"/>
          </w:tcPr>
          <w:p>
            <w:pPr>
              <w:bidi w:val="1"/>
              <w:spacing w:before="0" w:after="0" w:line="264" w:lineRule="auto"/>
            </w:pPr>
            <w:r>
              <w:rPr>
                <w:rFonts w:ascii="Arial" w:hAnsi="Arial" w:cs="Arial" w:eastAsia="Arial"/>
                <w:color w:val="0E1E3A"/>
                <w:sz w:val="17"/>
                <w:szCs w:val="17"/>
              </w:rPr>
              <w:t>‎1.76%‎</w:t>
            </w:r>
            <w:r>
              <w:rPr>
                <w:rFonts w:ascii="Arial" w:hAnsi="Arial" w:cs="Arial" w:eastAsia="Arial"/>
                <w:color w:val="0E1E3A"/>
                <w:sz w:val="17"/>
                <w:szCs w:val="17"/>
                <w:rtl/>
              </w:rPr>
              <w:t xml:space="preserve"> ***</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30 يونيو 2022م.</w:t>
      </w:r>
      <w:r>
        <w:br/>
      </w:r>
      <w:r>
        <w:rPr>
          <w:rFonts w:ascii="Arial" w:hAnsi="Arial" w:cs="Arial" w:eastAsia="Arial"/>
          <w:color w:val="5A6478"/>
          <w:sz w:val="17"/>
          <w:szCs w:val="17"/>
          <w:rtl/>
        </w:rPr>
        <w:t>** كما في تاريخ 30 سبتمبر 2022م.</w:t>
      </w:r>
      <w:r>
        <w:br/>
      </w:r>
      <w:r>
        <w:rPr>
          <w:rFonts w:ascii="Arial" w:hAnsi="Arial" w:cs="Arial" w:eastAsia="Arial"/>
          <w:color w:val="5A6478"/>
          <w:sz w:val="17"/>
          <w:szCs w:val="17"/>
          <w:rtl/>
        </w:rPr>
        <w:t xml:space="preserve">*** متوسط أداء المؤشر الاسترشادي يعادل </w:t>
      </w:r>
      <w:r>
        <w:rPr>
          <w:rFonts w:ascii="Arial" w:hAnsi="Arial" w:cs="Arial" w:eastAsia="Arial"/>
          <w:color w:val="5A6478"/>
          <w:sz w:val="17"/>
          <w:szCs w:val="17"/>
        </w:rPr>
        <w:t>‎7.08%‎</w:t>
      </w:r>
      <w:r>
        <w:rPr>
          <w:rFonts w:ascii="Arial" w:hAnsi="Arial" w:cs="Arial" w:eastAsia="Arial"/>
          <w:color w:val="5A6478"/>
          <w:sz w:val="17"/>
          <w:szCs w:val="17"/>
          <w:rtl/>
        </w:rPr>
        <w:t xml:space="preserve"> سنويًا أي ما يعادل عائد </w:t>
      </w:r>
      <w:r>
        <w:rPr>
          <w:rFonts w:ascii="Arial" w:hAnsi="Arial" w:cs="Arial" w:eastAsia="Arial"/>
          <w:color w:val="5A6478"/>
          <w:sz w:val="17"/>
          <w:szCs w:val="17"/>
        </w:rPr>
        <w:t>‎1.76%‎</w:t>
      </w:r>
      <w:r>
        <w:rPr>
          <w:rFonts w:ascii="Arial" w:hAnsi="Arial" w:cs="Arial" w:eastAsia="Arial"/>
          <w:color w:val="5A6478"/>
          <w:sz w:val="17"/>
          <w:szCs w:val="17"/>
          <w:rtl/>
        </w:rPr>
        <w:t xml:space="preserve"> للربع المعني.</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8" name="Picture 904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ملكية استثمارات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الملكية</w:t>
            </w:r>
          </w:p>
        </w:tc>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النسبة (%)</w:t>
            </w:r>
          </w:p>
        </w:tc>
      </w:tr>
      <w:tr>
        <w:tc>
          <w:tcPr>
            <w:tcW w:type="dxa" w:w="4989"/>
          </w:tcPr>
          <w:p>
            <w:pPr>
              <w:bidi w:val="1"/>
              <w:spacing w:before="0" w:after="0" w:line="264" w:lineRule="auto"/>
            </w:pPr>
            <w:r>
              <w:rPr>
                <w:rFonts w:ascii="Arial" w:hAnsi="Arial" w:cs="Arial" w:eastAsia="Arial"/>
                <w:color w:val="0E1E3A"/>
                <w:sz w:val="17"/>
                <w:szCs w:val="17"/>
                <w:rtl/>
              </w:rPr>
              <w:t>ملكية تامة</w:t>
            </w:r>
          </w:p>
        </w:tc>
        <w:tc>
          <w:tcPr>
            <w:tcW w:type="dxa" w:w="4989"/>
          </w:tcPr>
          <w:p>
            <w:pPr>
              <w:bidi w:val="1"/>
              <w:spacing w:before="0" w:after="0" w:line="264" w:lineRule="auto"/>
            </w:pPr>
            <w:r>
              <w:rPr>
                <w:rFonts w:ascii="Arial" w:hAnsi="Arial" w:cs="Arial" w:eastAsia="Arial"/>
                <w:color w:val="0E1E3A"/>
                <w:sz w:val="17"/>
                <w:szCs w:val="17"/>
              </w:rPr>
              <w:t>‎100%‎</w:t>
            </w:r>
          </w:p>
        </w:tc>
      </w:tr>
      <w:tr>
        <w:tc>
          <w:tcPr>
            <w:tcW w:type="dxa" w:w="4989"/>
          </w:tcPr>
          <w:p>
            <w:pPr>
              <w:bidi w:val="1"/>
              <w:spacing w:before="0" w:after="0" w:line="264" w:lineRule="auto"/>
            </w:pPr>
            <w:r>
              <w:rPr>
                <w:rFonts w:ascii="Arial" w:hAnsi="Arial" w:cs="Arial" w:eastAsia="Arial"/>
                <w:color w:val="0E1E3A"/>
                <w:sz w:val="17"/>
                <w:szCs w:val="17"/>
                <w:rtl/>
              </w:rPr>
              <w:t>حق منفعة</w:t>
            </w:r>
          </w:p>
        </w:tc>
        <w:tc>
          <w:tcPr>
            <w:tcW w:type="dxa" w:w="4989"/>
          </w:tcPr>
          <w:p>
            <w:pPr>
              <w:bidi w:val="1"/>
              <w:spacing w:before="0" w:after="0" w:line="264" w:lineRule="auto"/>
            </w:pPr>
            <w:r>
              <w:rPr>
                <w:rFonts w:ascii="Arial" w:hAnsi="Arial" w:cs="Arial" w:eastAsia="Arial"/>
                <w:color w:val="0E1E3A"/>
                <w:sz w:val="17"/>
                <w:szCs w:val="17"/>
              </w:rPr>
              <w:t>‎0%‎</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9" name="Picture 9041"/>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العوائد</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2494"/>
        <w:gridCol w:w="2494"/>
        <w:gridCol w:w="2494"/>
        <w:gridCol w:w="2494"/>
      </w:tblGrid>
      <w:tr>
        <w:trPr>
          <w:tblHeader/>
        </w:trPr>
        <w:tc>
          <w:tcPr>
            <w:tcW w:type="dxa" w:w="2494"/>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2494"/>
            <w:shd w:val="clear" w:color="auto" w:fill="12284B"/>
          </w:tcPr>
          <w:p>
            <w:pPr>
              <w:bidi w:val="1"/>
              <w:spacing w:before="0" w:after="0" w:line="264" w:lineRule="auto"/>
            </w:pPr>
            <w:r>
              <w:rPr>
                <w:rFonts w:ascii="Arial" w:hAnsi="Arial" w:cs="Arial" w:eastAsia="Arial"/>
                <w:b/>
                <w:bCs/>
                <w:color w:val="FFFFFF"/>
                <w:sz w:val="17"/>
                <w:szCs w:val="17"/>
                <w:rtl/>
              </w:rPr>
              <w:t>3 أشهر</w:t>
            </w:r>
          </w:p>
        </w:tc>
        <w:tc>
          <w:tcPr>
            <w:tcW w:type="dxa" w:w="2494"/>
            <w:shd w:val="clear" w:color="auto" w:fill="12284B"/>
          </w:tcPr>
          <w:p>
            <w:pPr>
              <w:bidi w:val="1"/>
              <w:spacing w:before="0" w:after="0" w:line="264" w:lineRule="auto"/>
            </w:pPr>
            <w:r>
              <w:rPr>
                <w:rFonts w:ascii="Arial" w:hAnsi="Arial" w:cs="Arial" w:eastAsia="Arial"/>
                <w:b/>
                <w:bCs/>
                <w:color w:val="FFFFFF"/>
                <w:sz w:val="17"/>
                <w:szCs w:val="17"/>
                <w:rtl/>
              </w:rPr>
              <w:t>من بداية السنة حتى تاريخ 30 سبتمبر 2022م</w:t>
            </w:r>
          </w:p>
        </w:tc>
        <w:tc>
          <w:tcPr>
            <w:tcW w:type="dxa" w:w="2494"/>
            <w:shd w:val="clear" w:color="auto" w:fill="12284B"/>
          </w:tcPr>
          <w:p>
            <w:pPr>
              <w:bidi w:val="1"/>
              <w:spacing w:before="0" w:after="0" w:line="264" w:lineRule="auto"/>
            </w:pPr>
            <w:r>
              <w:rPr>
                <w:rFonts w:ascii="Arial" w:hAnsi="Arial" w:cs="Arial" w:eastAsia="Arial"/>
                <w:b/>
                <w:bCs/>
                <w:color w:val="FFFFFF"/>
                <w:sz w:val="17"/>
                <w:szCs w:val="17"/>
                <w:rtl/>
              </w:rPr>
              <w:t>سنة واحدة</w:t>
            </w:r>
          </w:p>
        </w:tc>
      </w:tr>
      <w:tr>
        <w:tc>
          <w:tcPr>
            <w:tcW w:type="dxa" w:w="2494"/>
          </w:tcPr>
          <w:p>
            <w:pPr>
              <w:bidi w:val="1"/>
              <w:spacing w:before="0" w:after="0" w:line="264" w:lineRule="auto"/>
            </w:pPr>
            <w:r>
              <w:rPr>
                <w:rFonts w:ascii="Arial" w:hAnsi="Arial" w:cs="Arial" w:eastAsia="Arial"/>
                <w:color w:val="0E1E3A"/>
                <w:sz w:val="17"/>
                <w:szCs w:val="17"/>
                <w:rtl/>
              </w:rPr>
              <w:t>العائد الكلي لصافي قيمة الوحدة</w:t>
            </w:r>
          </w:p>
        </w:tc>
        <w:tc>
          <w:tcPr>
            <w:tcW w:type="dxa" w:w="2494"/>
          </w:tcPr>
          <w:p>
            <w:pPr>
              <w:bidi w:val="1"/>
              <w:spacing w:before="0" w:after="0" w:line="264" w:lineRule="auto"/>
            </w:pPr>
            <w:r>
              <w:rPr>
                <w:rFonts w:ascii="Arial" w:hAnsi="Arial" w:cs="Arial" w:eastAsia="Arial"/>
                <w:color w:val="0E1E3A"/>
                <w:sz w:val="17"/>
                <w:szCs w:val="17"/>
              </w:rPr>
              <w:t>‎0.33%‎</w:t>
            </w:r>
            <w:r>
              <w:rPr>
                <w:rFonts w:ascii="Arial" w:hAnsi="Arial" w:cs="Arial" w:eastAsia="Arial"/>
                <w:color w:val="0E1E3A"/>
                <w:sz w:val="17"/>
                <w:szCs w:val="17"/>
                <w:rtl/>
              </w:rPr>
              <w:t>*</w:t>
            </w:r>
          </w:p>
        </w:tc>
        <w:tc>
          <w:tcPr>
            <w:tcW w:type="dxa" w:w="2494"/>
          </w:tcPr>
          <w:p>
            <w:pPr>
              <w:bidi w:val="1"/>
              <w:spacing w:before="0" w:after="0" w:line="264" w:lineRule="auto"/>
            </w:pPr>
            <w:r>
              <w:rPr>
                <w:rFonts w:ascii="Arial" w:hAnsi="Arial" w:cs="Arial" w:eastAsia="Arial"/>
                <w:color w:val="0E1E3A"/>
                <w:sz w:val="17"/>
                <w:szCs w:val="17"/>
              </w:rPr>
              <w:t>‎0.40%‎</w:t>
            </w:r>
            <w:r>
              <w:rPr>
                <w:rFonts w:ascii="Arial" w:hAnsi="Arial" w:cs="Arial" w:eastAsia="Arial"/>
                <w:color w:val="0E1E3A"/>
                <w:sz w:val="17"/>
                <w:szCs w:val="17"/>
                <w:rtl/>
              </w:rPr>
              <w:t>**</w:t>
            </w:r>
          </w:p>
        </w:tc>
        <w:tc>
          <w:tcPr>
            <w:tcW w:type="dxa" w:w="2494"/>
          </w:tcPr>
          <w:p>
            <w:pPr>
              <w:bidi w:val="1"/>
              <w:spacing w:before="0" w:after="0" w:line="264" w:lineRule="auto"/>
            </w:pPr>
            <w:r>
              <w:rPr>
                <w:rFonts w:ascii="Arial" w:hAnsi="Arial" w:cs="Arial" w:eastAsia="Arial"/>
                <w:color w:val="0E1E3A"/>
                <w:sz w:val="17"/>
                <w:szCs w:val="17"/>
              </w:rPr>
              <w:t>‎1.83%‎</w:t>
            </w:r>
            <w:r>
              <w:rPr>
                <w:rFonts w:ascii="Arial" w:hAnsi="Arial" w:cs="Arial" w:eastAsia="Arial"/>
                <w:color w:val="0E1E3A"/>
                <w:sz w:val="17"/>
                <w:szCs w:val="17"/>
                <w:rtl/>
              </w:rPr>
              <w:t>***</w:t>
            </w:r>
          </w:p>
        </w:tc>
      </w:tr>
      <w:tr>
        <w:tc>
          <w:tcPr>
            <w:tcW w:type="dxa" w:w="2494"/>
          </w:tcPr>
          <w:p>
            <w:pPr>
              <w:bidi w:val="1"/>
              <w:spacing w:before="0" w:after="0" w:line="264" w:lineRule="auto"/>
            </w:pPr>
            <w:r>
              <w:rPr>
                <w:rFonts w:ascii="Arial" w:hAnsi="Arial" w:cs="Arial" w:eastAsia="Arial"/>
                <w:color w:val="0E1E3A"/>
                <w:sz w:val="17"/>
                <w:szCs w:val="17"/>
                <w:rtl/>
              </w:rPr>
              <w:t>أداء المؤشر الاسترشادي</w:t>
            </w:r>
          </w:p>
        </w:tc>
        <w:tc>
          <w:tcPr>
            <w:tcW w:type="dxa" w:w="2494"/>
          </w:tcPr>
          <w:p>
            <w:pPr>
              <w:bidi w:val="1"/>
              <w:spacing w:before="0" w:after="0" w:line="264" w:lineRule="auto"/>
            </w:pPr>
            <w:r>
              <w:rPr>
                <w:rFonts w:ascii="Arial" w:hAnsi="Arial" w:cs="Arial" w:eastAsia="Arial"/>
                <w:color w:val="0E1E3A"/>
                <w:sz w:val="17"/>
                <w:szCs w:val="17"/>
              </w:rPr>
              <w:t>‎1.76%‎</w:t>
            </w:r>
          </w:p>
        </w:tc>
        <w:tc>
          <w:tcPr>
            <w:tcW w:type="dxa" w:w="2494"/>
          </w:tcPr>
          <w:p>
            <w:pPr>
              <w:bidi w:val="1"/>
              <w:spacing w:before="0" w:after="0" w:line="264" w:lineRule="auto"/>
            </w:pPr>
            <w:r>
              <w:rPr>
                <w:rFonts w:ascii="Arial" w:hAnsi="Arial" w:cs="Arial" w:eastAsia="Arial"/>
                <w:color w:val="0E1E3A"/>
                <w:sz w:val="17"/>
                <w:szCs w:val="17"/>
              </w:rPr>
              <w:t>‎4.25%‎</w:t>
            </w:r>
          </w:p>
        </w:tc>
        <w:tc>
          <w:tcPr>
            <w:tcW w:type="dxa" w:w="2494"/>
          </w:tcPr>
          <w:p>
            <w:pPr>
              <w:bidi w:val="1"/>
              <w:spacing w:before="0" w:after="0" w:line="264" w:lineRule="auto"/>
            </w:pPr>
            <w:r>
              <w:rPr>
                <w:rFonts w:ascii="Arial" w:hAnsi="Arial" w:cs="Arial" w:eastAsia="Arial"/>
                <w:color w:val="0E1E3A"/>
                <w:sz w:val="17"/>
                <w:szCs w:val="17"/>
              </w:rPr>
              <w:t>‎5.15%‎</w:t>
            </w:r>
          </w:p>
        </w:tc>
      </w:tr>
      <w:tr>
        <w:tc>
          <w:tcPr>
            <w:tcW w:type="dxa" w:w="2494"/>
          </w:tcPr>
          <w:p>
            <w:pPr>
              <w:bidi w:val="1"/>
              <w:spacing w:before="0" w:after="0" w:line="264" w:lineRule="auto"/>
            </w:pPr>
            <w:r>
              <w:rPr>
                <w:rFonts w:ascii="Arial" w:hAnsi="Arial" w:cs="Arial" w:eastAsia="Arial"/>
                <w:color w:val="0E1E3A"/>
                <w:sz w:val="17"/>
                <w:szCs w:val="17"/>
                <w:rtl/>
              </w:rPr>
              <w:t>فارق الأداء</w:t>
            </w:r>
          </w:p>
        </w:tc>
        <w:tc>
          <w:tcPr>
            <w:tcW w:type="dxa" w:w="2494"/>
          </w:tcPr>
          <w:p>
            <w:pPr>
              <w:bidi w:val="1"/>
              <w:spacing w:before="0" w:after="0" w:line="264" w:lineRule="auto"/>
            </w:pPr>
            <w:r>
              <w:rPr>
                <w:rFonts w:ascii="Arial" w:hAnsi="Arial" w:cs="Arial" w:eastAsia="Arial"/>
                <w:color w:val="0E1E3A"/>
                <w:sz w:val="17"/>
                <w:szCs w:val="17"/>
              </w:rPr>
              <w:t>‎-1.43%‎</w:t>
            </w:r>
          </w:p>
        </w:tc>
        <w:tc>
          <w:tcPr>
            <w:tcW w:type="dxa" w:w="2494"/>
          </w:tcPr>
          <w:p>
            <w:pPr>
              <w:bidi w:val="1"/>
              <w:spacing w:before="0" w:after="0" w:line="264" w:lineRule="auto"/>
            </w:pPr>
            <w:r>
              <w:rPr>
                <w:rFonts w:ascii="Arial" w:hAnsi="Arial" w:cs="Arial" w:eastAsia="Arial"/>
                <w:color w:val="0E1E3A"/>
                <w:sz w:val="17"/>
                <w:szCs w:val="17"/>
              </w:rPr>
              <w:t>‎-3.85%‎</w:t>
            </w:r>
          </w:p>
        </w:tc>
        <w:tc>
          <w:tcPr>
            <w:tcW w:type="dxa" w:w="2494"/>
          </w:tcPr>
          <w:p>
            <w:pPr>
              <w:bidi w:val="1"/>
              <w:spacing w:before="0" w:after="0" w:line="264" w:lineRule="auto"/>
            </w:pPr>
            <w:r>
              <w:rPr>
                <w:rFonts w:ascii="Arial" w:hAnsi="Arial" w:cs="Arial" w:eastAsia="Arial"/>
                <w:color w:val="0E1E3A"/>
                <w:sz w:val="17"/>
                <w:szCs w:val="17"/>
              </w:rPr>
              <w:t>‎-3.32%‎</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xml:space="preserve">* عن الفترة من 1 يوليو 2022م إلى 30 سبتمبر 2022م متضمنة التوزيعات النقدية بنسبة </w:t>
      </w:r>
      <w:r>
        <w:rPr>
          <w:rFonts w:ascii="Arial" w:hAnsi="Arial" w:cs="Arial" w:eastAsia="Arial"/>
          <w:color w:val="5A6478"/>
          <w:sz w:val="17"/>
          <w:szCs w:val="17"/>
        </w:rPr>
        <w:t>‎2.6%‎</w:t>
      </w:r>
      <w:r>
        <w:rPr>
          <w:rFonts w:ascii="Arial" w:hAnsi="Arial" w:cs="Arial" w:eastAsia="Arial"/>
          <w:color w:val="5A6478"/>
          <w:sz w:val="17"/>
          <w:szCs w:val="17"/>
          <w:rtl/>
        </w:rPr>
        <w:t>.</w:t>
      </w:r>
      <w:r>
        <w:br/>
      </w:r>
      <w:r>
        <w:rPr>
          <w:rFonts w:ascii="Arial" w:hAnsi="Arial" w:cs="Arial" w:eastAsia="Arial"/>
          <w:color w:val="5A6478"/>
          <w:sz w:val="17"/>
          <w:szCs w:val="17"/>
          <w:rtl/>
        </w:rPr>
        <w:t xml:space="preserve">** عن الفترة من 1 يناير 2022م إلى 30 سبتمبر 2022م متضمنة التوزيعات النقدية بنسبة </w:t>
      </w:r>
      <w:r>
        <w:rPr>
          <w:rFonts w:ascii="Arial" w:hAnsi="Arial" w:cs="Arial" w:eastAsia="Arial"/>
          <w:color w:val="5A6478"/>
          <w:sz w:val="17"/>
          <w:szCs w:val="17"/>
        </w:rPr>
        <w:t>‎5.1%‎</w:t>
      </w:r>
      <w:r>
        <w:rPr>
          <w:rFonts w:ascii="Arial" w:hAnsi="Arial" w:cs="Arial" w:eastAsia="Arial"/>
          <w:color w:val="5A6478"/>
          <w:sz w:val="17"/>
          <w:szCs w:val="17"/>
          <w:rtl/>
        </w:rPr>
        <w:t>.</w:t>
      </w:r>
      <w:r>
        <w:br/>
      </w:r>
      <w:r>
        <w:rPr>
          <w:rFonts w:ascii="Arial" w:hAnsi="Arial" w:cs="Arial" w:eastAsia="Arial"/>
          <w:color w:val="5A6478"/>
          <w:sz w:val="17"/>
          <w:szCs w:val="17"/>
          <w:rtl/>
        </w:rPr>
        <w:t xml:space="preserve">*** عن الفترة من 1 أكتوبر 2021م إلى 30 سبتمبر 2022م متضمنة توزيعات نقدية بنسبة </w:t>
      </w:r>
      <w:r>
        <w:rPr>
          <w:rFonts w:ascii="Arial" w:hAnsi="Arial" w:cs="Arial" w:eastAsia="Arial"/>
          <w:color w:val="5A6478"/>
          <w:sz w:val="17"/>
          <w:szCs w:val="17"/>
        </w:rPr>
        <w:t>‎5.1%‎</w:t>
      </w:r>
      <w:r>
        <w:rPr>
          <w:rFonts w:ascii="Arial" w:hAnsi="Arial" w:cs="Arial" w:eastAsia="Arial"/>
          <w:color w:val="5A6478"/>
          <w:sz w:val="17"/>
          <w:szCs w:val="17"/>
          <w:rtl/>
        </w:rPr>
        <w:t xml:space="preserve"> (صافي قيمة الوحدة 30 سبتمبر 2021م = 10.1022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0" name="Picture 9042"/>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2494"/>
        <w:gridCol w:w="2494"/>
        <w:gridCol w:w="2494"/>
        <w:gridCol w:w="2494"/>
      </w:tblGrid>
      <w:tr>
        <w:trPr>
          <w:tblHeader/>
        </w:trPr>
        <w:tc>
          <w:tcPr>
            <w:tcW w:type="dxa" w:w="2494"/>
            <w:shd w:val="clear" w:color="auto" w:fill="12284B"/>
          </w:tcPr>
          <w:p>
            <w:pPr>
              <w:bidi w:val="1"/>
              <w:spacing w:before="0" w:after="0" w:line="264" w:lineRule="auto"/>
            </w:pPr>
            <w:r>
              <w:rPr>
                <w:rFonts w:ascii="Arial" w:hAnsi="Arial" w:cs="Arial" w:eastAsia="Arial"/>
                <w:b/>
                <w:bCs/>
                <w:color w:val="FFFFFF"/>
                <w:sz w:val="17"/>
                <w:szCs w:val="17"/>
                <w:rtl/>
              </w:rPr>
              <w:t>معايير الأداء والمخاطر</w:t>
            </w:r>
          </w:p>
        </w:tc>
        <w:tc>
          <w:tcPr>
            <w:tcW w:type="dxa" w:w="2494"/>
            <w:shd w:val="clear" w:color="auto" w:fill="12284B"/>
          </w:tcPr>
          <w:p>
            <w:pPr>
              <w:bidi w:val="1"/>
              <w:spacing w:before="0" w:after="0" w:line="264" w:lineRule="auto"/>
            </w:pPr>
            <w:r>
              <w:rPr>
                <w:rFonts w:ascii="Arial" w:hAnsi="Arial" w:cs="Arial" w:eastAsia="Arial"/>
                <w:b/>
                <w:bCs/>
                <w:color w:val="FFFFFF"/>
                <w:sz w:val="17"/>
                <w:szCs w:val="17"/>
                <w:rtl/>
              </w:rPr>
              <w:t>3 أشهر</w:t>
            </w:r>
            <w:r>
              <w:rPr>
                <w:rFonts w:ascii="Arial" w:hAnsi="Arial" w:cs="Arial" w:eastAsia="Arial"/>
                <w:b/>
                <w:bCs/>
                <w:color w:val="FFFFFF"/>
                <w:sz w:val="17"/>
                <w:szCs w:val="17"/>
                <w:rtl/>
              </w:rPr>
              <w:t>1</w:t>
            </w:r>
          </w:p>
        </w:tc>
        <w:tc>
          <w:tcPr>
            <w:tcW w:type="dxa" w:w="2494"/>
            <w:shd w:val="clear" w:color="auto" w:fill="12284B"/>
          </w:tcPr>
          <w:p>
            <w:pPr>
              <w:bidi w:val="1"/>
              <w:spacing w:before="0" w:after="0" w:line="264" w:lineRule="auto"/>
            </w:pPr>
            <w:r>
              <w:rPr>
                <w:rFonts w:ascii="Arial" w:hAnsi="Arial" w:cs="Arial" w:eastAsia="Arial"/>
                <w:b/>
                <w:bCs/>
                <w:color w:val="FFFFFF"/>
                <w:sz w:val="17"/>
                <w:szCs w:val="17"/>
                <w:rtl/>
              </w:rPr>
              <w:t>من بداية السنة حتى تاريخ 30 سبتمبر 2022م</w:t>
            </w:r>
            <w:r>
              <w:rPr>
                <w:rFonts w:ascii="Arial" w:hAnsi="Arial" w:cs="Arial" w:eastAsia="Arial"/>
                <w:b/>
                <w:bCs/>
                <w:color w:val="FFFFFF"/>
                <w:sz w:val="17"/>
                <w:szCs w:val="17"/>
                <w:rtl/>
              </w:rPr>
              <w:t>2</w:t>
            </w:r>
          </w:p>
        </w:tc>
        <w:tc>
          <w:tcPr>
            <w:tcW w:type="dxa" w:w="2494"/>
            <w:shd w:val="clear" w:color="auto" w:fill="12284B"/>
          </w:tcPr>
          <w:p>
            <w:pPr>
              <w:bidi w:val="1"/>
              <w:spacing w:before="0" w:after="0" w:line="264" w:lineRule="auto"/>
            </w:pPr>
            <w:r>
              <w:rPr>
                <w:rFonts w:ascii="Arial" w:hAnsi="Arial" w:cs="Arial" w:eastAsia="Arial"/>
                <w:b/>
                <w:bCs/>
                <w:color w:val="FFFFFF"/>
                <w:sz w:val="17"/>
                <w:szCs w:val="17"/>
                <w:rtl/>
              </w:rPr>
              <w:t>سنة واحدة</w:t>
            </w:r>
            <w:r>
              <w:rPr>
                <w:rFonts w:ascii="Arial" w:hAnsi="Arial" w:cs="Arial" w:eastAsia="Arial"/>
                <w:b/>
                <w:bCs/>
                <w:color w:val="FFFFFF"/>
                <w:sz w:val="17"/>
                <w:szCs w:val="17"/>
                <w:rtl/>
              </w:rPr>
              <w:t>3</w:t>
            </w:r>
          </w:p>
        </w:tc>
      </w:tr>
      <w:tr>
        <w:tc>
          <w:tcPr>
            <w:tcW w:type="dxa" w:w="2494"/>
          </w:tcPr>
          <w:p>
            <w:pPr>
              <w:bidi w:val="1"/>
              <w:spacing w:before="0" w:after="0" w:line="264" w:lineRule="auto"/>
            </w:pPr>
            <w:r>
              <w:rPr>
                <w:rFonts w:ascii="Arial" w:hAnsi="Arial" w:cs="Arial" w:eastAsia="Arial"/>
                <w:color w:val="0E1E3A"/>
                <w:sz w:val="17"/>
                <w:szCs w:val="17"/>
                <w:rtl/>
              </w:rPr>
              <w:t>الانحراف المعياري</w:t>
            </w:r>
            <w:r>
              <w:rPr>
                <w:rFonts w:ascii="Arial" w:hAnsi="Arial" w:cs="Arial" w:eastAsia="Arial"/>
                <w:color w:val="0E1E3A"/>
                <w:sz w:val="17"/>
                <w:szCs w:val="17"/>
                <w:rtl/>
              </w:rPr>
              <w:t>4</w:t>
            </w:r>
          </w:p>
        </w:tc>
        <w:tc>
          <w:tcPr>
            <w:tcW w:type="dxa" w:w="2494"/>
          </w:tcPr>
          <w:p>
            <w:pPr>
              <w:bidi w:val="1"/>
              <w:spacing w:before="0" w:after="0" w:line="264" w:lineRule="auto"/>
            </w:pPr>
            <w:r>
              <w:rPr>
                <w:rFonts w:ascii="Arial" w:hAnsi="Arial" w:cs="Arial" w:eastAsia="Arial"/>
                <w:color w:val="0E1E3A"/>
                <w:sz w:val="17"/>
                <w:szCs w:val="17"/>
                <w:rtl/>
              </w:rPr>
              <w:t>11.57</w:t>
            </w:r>
          </w:p>
        </w:tc>
        <w:tc>
          <w:tcPr>
            <w:tcW w:type="dxa" w:w="2494"/>
          </w:tcPr>
          <w:p>
            <w:pPr>
              <w:bidi w:val="1"/>
              <w:spacing w:before="0" w:after="0" w:line="264" w:lineRule="auto"/>
            </w:pPr>
            <w:r>
              <w:rPr>
                <w:rFonts w:ascii="Arial" w:hAnsi="Arial" w:cs="Arial" w:eastAsia="Arial"/>
                <w:color w:val="0E1E3A"/>
                <w:sz w:val="17"/>
                <w:szCs w:val="17"/>
                <w:rtl/>
              </w:rPr>
              <w:t>10.50</w:t>
            </w:r>
          </w:p>
        </w:tc>
        <w:tc>
          <w:tcPr>
            <w:tcW w:type="dxa" w:w="2494"/>
          </w:tcPr>
          <w:p>
            <w:pPr>
              <w:bidi w:val="1"/>
              <w:spacing w:before="0" w:after="0" w:line="264" w:lineRule="auto"/>
            </w:pPr>
            <w:r>
              <w:rPr>
                <w:rFonts w:ascii="Arial" w:hAnsi="Arial" w:cs="Arial" w:eastAsia="Arial"/>
                <w:color w:val="0E1E3A"/>
                <w:sz w:val="17"/>
                <w:szCs w:val="17"/>
                <w:rtl/>
              </w:rPr>
              <w:t>9.57</w:t>
            </w:r>
          </w:p>
        </w:tc>
      </w:tr>
      <w:tr>
        <w:tc>
          <w:tcPr>
            <w:tcW w:type="dxa" w:w="2494"/>
          </w:tcPr>
          <w:p>
            <w:pPr>
              <w:bidi w:val="1"/>
              <w:spacing w:before="0" w:after="0" w:line="264" w:lineRule="auto"/>
            </w:pPr>
            <w:r>
              <w:rPr>
                <w:rFonts w:ascii="Arial" w:hAnsi="Arial" w:cs="Arial" w:eastAsia="Arial"/>
                <w:color w:val="0E1E3A"/>
                <w:sz w:val="17"/>
                <w:szCs w:val="17"/>
                <w:rtl/>
              </w:rPr>
              <w:t>مؤشر شارب</w:t>
            </w:r>
            <w:r>
              <w:rPr>
                <w:rFonts w:ascii="Arial" w:hAnsi="Arial" w:cs="Arial" w:eastAsia="Arial"/>
                <w:color w:val="0E1E3A"/>
                <w:sz w:val="17"/>
                <w:szCs w:val="17"/>
                <w:rtl/>
              </w:rPr>
              <w:t>5</w:t>
            </w:r>
          </w:p>
        </w:tc>
        <w:tc>
          <w:tcPr>
            <w:tcW w:type="dxa" w:w="2494"/>
          </w:tcPr>
          <w:p>
            <w:pPr>
              <w:bidi w:val="1"/>
              <w:spacing w:before="0" w:after="0" w:line="264" w:lineRule="auto"/>
            </w:pPr>
            <w:r>
              <w:rPr>
                <w:rFonts w:ascii="Arial" w:hAnsi="Arial" w:cs="Arial" w:eastAsia="Arial"/>
                <w:color w:val="0E1E3A"/>
                <w:sz w:val="17"/>
                <w:szCs w:val="17"/>
                <w:rtl/>
              </w:rPr>
              <w:t>0.59</w:t>
            </w:r>
          </w:p>
        </w:tc>
        <w:tc>
          <w:tcPr>
            <w:tcW w:type="dxa" w:w="2494"/>
          </w:tcPr>
          <w:p>
            <w:pPr>
              <w:bidi w:val="1"/>
              <w:spacing w:before="0" w:after="0" w:line="264" w:lineRule="auto"/>
            </w:pPr>
            <w:r>
              <w:rPr>
                <w:rFonts w:ascii="Arial" w:hAnsi="Arial" w:cs="Arial" w:eastAsia="Arial"/>
                <w:color w:val="0E1E3A"/>
                <w:sz w:val="17"/>
                <w:szCs w:val="17"/>
                <w:rtl/>
              </w:rPr>
              <w:t>-1.72</w:t>
            </w:r>
          </w:p>
        </w:tc>
        <w:tc>
          <w:tcPr>
            <w:tcW w:type="dxa" w:w="2494"/>
          </w:tcPr>
          <w:p>
            <w:pPr>
              <w:bidi w:val="1"/>
              <w:spacing w:before="0" w:after="0" w:line="264" w:lineRule="auto"/>
            </w:pPr>
            <w:r>
              <w:rPr>
                <w:rFonts w:ascii="Arial" w:hAnsi="Arial" w:cs="Arial" w:eastAsia="Arial"/>
                <w:color w:val="0E1E3A"/>
                <w:sz w:val="17"/>
                <w:szCs w:val="17"/>
                <w:rtl/>
              </w:rPr>
              <w:t>-1.81</w:t>
            </w:r>
          </w:p>
        </w:tc>
      </w:tr>
      <w:tr>
        <w:tc>
          <w:tcPr>
            <w:tcW w:type="dxa" w:w="2494"/>
          </w:tcPr>
          <w:p>
            <w:pPr>
              <w:bidi w:val="1"/>
              <w:spacing w:before="0" w:after="0" w:line="264" w:lineRule="auto"/>
            </w:pPr>
            <w:r>
              <w:rPr>
                <w:rFonts w:ascii="Arial" w:hAnsi="Arial" w:cs="Arial" w:eastAsia="Arial"/>
                <w:color w:val="0E1E3A"/>
                <w:sz w:val="17"/>
                <w:szCs w:val="17"/>
                <w:rtl/>
              </w:rPr>
              <w:t>خطأ التتبع</w:t>
            </w:r>
            <w:r>
              <w:rPr>
                <w:rFonts w:ascii="Arial" w:hAnsi="Arial" w:cs="Arial" w:eastAsia="Arial"/>
                <w:color w:val="0E1E3A"/>
                <w:sz w:val="17"/>
                <w:szCs w:val="17"/>
                <w:rtl/>
              </w:rPr>
              <w:t>6</w:t>
            </w:r>
          </w:p>
        </w:tc>
        <w:tc>
          <w:tcPr>
            <w:tcW w:type="dxa" w:w="2494"/>
          </w:tcPr>
          <w:p>
            <w:pPr>
              <w:bidi w:val="1"/>
              <w:spacing w:before="0" w:after="0" w:line="264" w:lineRule="auto"/>
            </w:pPr>
            <w:r>
              <w:rPr>
                <w:rFonts w:ascii="Arial" w:hAnsi="Arial" w:cs="Arial" w:eastAsia="Arial"/>
                <w:color w:val="0E1E3A"/>
                <w:sz w:val="17"/>
                <w:szCs w:val="17"/>
                <w:rtl/>
              </w:rPr>
              <w:t>11.59</w:t>
            </w:r>
          </w:p>
        </w:tc>
        <w:tc>
          <w:tcPr>
            <w:tcW w:type="dxa" w:w="2494"/>
          </w:tcPr>
          <w:p>
            <w:pPr>
              <w:bidi w:val="1"/>
              <w:spacing w:before="0" w:after="0" w:line="264" w:lineRule="auto"/>
            </w:pPr>
            <w:r>
              <w:rPr>
                <w:rFonts w:ascii="Arial" w:hAnsi="Arial" w:cs="Arial" w:eastAsia="Arial"/>
                <w:color w:val="0E1E3A"/>
                <w:sz w:val="17"/>
                <w:szCs w:val="17"/>
                <w:rtl/>
              </w:rPr>
              <w:t>10.52</w:t>
            </w:r>
          </w:p>
        </w:tc>
        <w:tc>
          <w:tcPr>
            <w:tcW w:type="dxa" w:w="2494"/>
          </w:tcPr>
          <w:p>
            <w:pPr>
              <w:bidi w:val="1"/>
              <w:spacing w:before="0" w:after="0" w:line="264" w:lineRule="auto"/>
            </w:pPr>
            <w:r>
              <w:rPr>
                <w:rFonts w:ascii="Arial" w:hAnsi="Arial" w:cs="Arial" w:eastAsia="Arial"/>
                <w:color w:val="0E1E3A"/>
                <w:sz w:val="17"/>
                <w:szCs w:val="17"/>
                <w:rtl/>
              </w:rPr>
              <w:t>9.59</w:t>
            </w:r>
          </w:p>
        </w:tc>
      </w:tr>
      <w:tr>
        <w:tc>
          <w:tcPr>
            <w:tcW w:type="dxa" w:w="2494"/>
          </w:tcPr>
          <w:p>
            <w:pPr>
              <w:bidi w:val="1"/>
              <w:spacing w:before="0" w:after="0" w:line="264" w:lineRule="auto"/>
            </w:pPr>
            <w:r>
              <w:rPr>
                <w:rFonts w:ascii="Arial" w:hAnsi="Arial" w:cs="Arial" w:eastAsia="Arial"/>
                <w:color w:val="0E1E3A"/>
                <w:sz w:val="17"/>
                <w:szCs w:val="17"/>
                <w:rtl/>
              </w:rPr>
              <w:t>بيتا</w:t>
            </w:r>
            <w:r>
              <w:rPr>
                <w:rFonts w:ascii="Arial" w:hAnsi="Arial" w:cs="Arial" w:eastAsia="Arial"/>
                <w:color w:val="0E1E3A"/>
                <w:sz w:val="17"/>
                <w:szCs w:val="17"/>
                <w:rtl/>
              </w:rPr>
              <w:t>7</w:t>
            </w:r>
          </w:p>
        </w:tc>
        <w:tc>
          <w:tcPr>
            <w:tcW w:type="dxa" w:w="2494"/>
          </w:tcPr>
          <w:p>
            <w:pPr>
              <w:bidi w:val="1"/>
              <w:spacing w:before="0" w:after="0" w:line="264" w:lineRule="auto"/>
            </w:pPr>
            <w:r>
              <w:rPr>
                <w:rFonts w:ascii="Arial" w:hAnsi="Arial" w:cs="Arial" w:eastAsia="Arial"/>
                <w:color w:val="0E1E3A"/>
                <w:sz w:val="17"/>
                <w:szCs w:val="17"/>
                <w:rtl/>
              </w:rPr>
              <w:t>(1.87)</w:t>
            </w:r>
          </w:p>
        </w:tc>
        <w:tc>
          <w:tcPr>
            <w:tcW w:type="dxa" w:w="2494"/>
          </w:tcPr>
          <w:p>
            <w:pPr>
              <w:bidi w:val="1"/>
              <w:spacing w:before="0" w:after="0" w:line="264" w:lineRule="auto"/>
            </w:pPr>
            <w:r>
              <w:rPr>
                <w:rFonts w:ascii="Arial" w:hAnsi="Arial" w:cs="Arial" w:eastAsia="Arial"/>
                <w:color w:val="0E1E3A"/>
                <w:sz w:val="17"/>
                <w:szCs w:val="17"/>
                <w:rtl/>
              </w:rPr>
              <w:t>(3.17)</w:t>
            </w:r>
          </w:p>
        </w:tc>
        <w:tc>
          <w:tcPr>
            <w:tcW w:type="dxa" w:w="2494"/>
          </w:tcPr>
          <w:p>
            <w:pPr>
              <w:bidi w:val="1"/>
              <w:spacing w:before="0" w:after="0" w:line="264" w:lineRule="auto"/>
            </w:pPr>
            <w:r>
              <w:rPr>
                <w:rFonts w:ascii="Arial" w:hAnsi="Arial" w:cs="Arial" w:eastAsia="Arial"/>
                <w:color w:val="0E1E3A"/>
                <w:sz w:val="17"/>
                <w:szCs w:val="17"/>
                <w:rtl/>
              </w:rPr>
              <w:t>(2.58)</w:t>
            </w:r>
          </w:p>
        </w:tc>
      </w:tr>
      <w:tr>
        <w:tc>
          <w:tcPr>
            <w:tcW w:type="dxa" w:w="2494"/>
          </w:tcPr>
          <w:p>
            <w:pPr>
              <w:bidi w:val="1"/>
              <w:spacing w:before="0" w:after="0" w:line="264" w:lineRule="auto"/>
            </w:pPr>
            <w:r>
              <w:rPr>
                <w:rFonts w:ascii="Arial" w:hAnsi="Arial" w:cs="Arial" w:eastAsia="Arial"/>
                <w:color w:val="0E1E3A"/>
                <w:sz w:val="17"/>
                <w:szCs w:val="17"/>
                <w:rtl/>
              </w:rPr>
              <w:t>ألفا</w:t>
            </w:r>
            <w:r>
              <w:rPr>
                <w:rFonts w:ascii="Arial" w:hAnsi="Arial" w:cs="Arial" w:eastAsia="Arial"/>
                <w:color w:val="0E1E3A"/>
                <w:sz w:val="17"/>
                <w:szCs w:val="17"/>
                <w:rtl/>
              </w:rPr>
              <w:t>8</w:t>
            </w:r>
          </w:p>
        </w:tc>
        <w:tc>
          <w:tcPr>
            <w:tcW w:type="dxa" w:w="2494"/>
          </w:tcPr>
          <w:p>
            <w:pPr>
              <w:bidi w:val="1"/>
              <w:spacing w:before="0" w:after="0" w:line="264" w:lineRule="auto"/>
            </w:pPr>
            <w:r>
              <w:rPr>
                <w:rFonts w:ascii="Arial" w:hAnsi="Arial" w:cs="Arial" w:eastAsia="Arial"/>
                <w:color w:val="0E1E3A"/>
                <w:sz w:val="17"/>
                <w:szCs w:val="17"/>
                <w:rtl/>
              </w:rPr>
              <w:t>-0.02</w:t>
            </w:r>
          </w:p>
        </w:tc>
        <w:tc>
          <w:tcPr>
            <w:tcW w:type="dxa" w:w="2494"/>
          </w:tcPr>
          <w:p>
            <w:pPr>
              <w:bidi w:val="1"/>
              <w:spacing w:before="0" w:after="0" w:line="264" w:lineRule="auto"/>
            </w:pPr>
            <w:r>
              <w:rPr>
                <w:rFonts w:ascii="Arial" w:hAnsi="Arial" w:cs="Arial" w:eastAsia="Arial"/>
                <w:color w:val="0E1E3A"/>
                <w:sz w:val="17"/>
                <w:szCs w:val="17"/>
                <w:rtl/>
              </w:rPr>
              <w:t>-0.23</w:t>
            </w:r>
          </w:p>
        </w:tc>
        <w:tc>
          <w:tcPr>
            <w:tcW w:type="dxa" w:w="2494"/>
          </w:tcPr>
          <w:p>
            <w:pPr>
              <w:bidi w:val="1"/>
              <w:spacing w:before="0" w:after="0" w:line="264" w:lineRule="auto"/>
            </w:pPr>
            <w:r>
              <w:rPr>
                <w:rFonts w:ascii="Arial" w:hAnsi="Arial" w:cs="Arial" w:eastAsia="Arial"/>
                <w:color w:val="0E1E3A"/>
                <w:sz w:val="17"/>
                <w:szCs w:val="17"/>
                <w:rtl/>
              </w:rPr>
              <w:t>-0.22</w:t>
            </w:r>
          </w:p>
        </w:tc>
      </w:tr>
      <w:tr>
        <w:tc>
          <w:tcPr>
            <w:tcW w:type="dxa" w:w="2494"/>
          </w:tcPr>
          <w:p>
            <w:pPr>
              <w:bidi w:val="1"/>
              <w:spacing w:before="0" w:after="0" w:line="264" w:lineRule="auto"/>
            </w:pPr>
            <w:r>
              <w:rPr>
                <w:rFonts w:ascii="Arial" w:hAnsi="Arial" w:cs="Arial" w:eastAsia="Arial"/>
                <w:color w:val="0E1E3A"/>
                <w:sz w:val="17"/>
                <w:szCs w:val="17"/>
                <w:rtl/>
              </w:rPr>
              <w:t>مؤشر المعلومات</w:t>
            </w:r>
            <w:r>
              <w:rPr>
                <w:rFonts w:ascii="Arial" w:hAnsi="Arial" w:cs="Arial" w:eastAsia="Arial"/>
                <w:color w:val="0E1E3A"/>
                <w:sz w:val="17"/>
                <w:szCs w:val="17"/>
                <w:rtl/>
              </w:rPr>
              <w:t>9</w:t>
            </w:r>
          </w:p>
        </w:tc>
        <w:tc>
          <w:tcPr>
            <w:tcW w:type="dxa" w:w="2494"/>
          </w:tcPr>
          <w:p>
            <w:pPr>
              <w:bidi w:val="1"/>
              <w:spacing w:before="0" w:after="0" w:line="264" w:lineRule="auto"/>
            </w:pPr>
            <w:r>
              <w:rPr>
                <w:rFonts w:ascii="Arial" w:hAnsi="Arial" w:cs="Arial" w:eastAsia="Arial"/>
                <w:color w:val="0E1E3A"/>
                <w:sz w:val="17"/>
                <w:szCs w:val="17"/>
                <w:rtl/>
              </w:rPr>
              <w:t>0.16</w:t>
            </w:r>
          </w:p>
        </w:tc>
        <w:tc>
          <w:tcPr>
            <w:tcW w:type="dxa" w:w="2494"/>
          </w:tcPr>
          <w:p>
            <w:pPr>
              <w:bidi w:val="1"/>
              <w:spacing w:before="0" w:after="0" w:line="264" w:lineRule="auto"/>
            </w:pPr>
            <w:r>
              <w:rPr>
                <w:rFonts w:ascii="Arial" w:hAnsi="Arial" w:cs="Arial" w:eastAsia="Arial"/>
                <w:color w:val="0E1E3A"/>
                <w:sz w:val="17"/>
                <w:szCs w:val="17"/>
                <w:rtl/>
              </w:rPr>
              <w:t>-2.23</w:t>
            </w:r>
          </w:p>
        </w:tc>
        <w:tc>
          <w:tcPr>
            <w:tcW w:type="dxa" w:w="2494"/>
          </w:tcPr>
          <w:p>
            <w:pPr>
              <w:bidi w:val="1"/>
              <w:spacing w:before="0" w:after="0" w:line="264" w:lineRule="auto"/>
            </w:pPr>
            <w:r>
              <w:rPr>
                <w:rFonts w:ascii="Arial" w:hAnsi="Arial" w:cs="Arial" w:eastAsia="Arial"/>
                <w:color w:val="0E1E3A"/>
                <w:sz w:val="17"/>
                <w:szCs w:val="17"/>
                <w:rtl/>
              </w:rPr>
              <w:t>-2.34</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1. عن الفترة من 1 يوليو 2022م إلى 30 سبتمبر 2022م.</w:t>
      </w:r>
      <w:r>
        <w:br/>
      </w:r>
      <w:r>
        <w:rPr>
          <w:rFonts w:ascii="Arial" w:hAnsi="Arial" w:cs="Arial" w:eastAsia="Arial"/>
          <w:color w:val="5A6478"/>
          <w:sz w:val="17"/>
          <w:szCs w:val="17"/>
          <w:rtl/>
        </w:rPr>
        <w:t>2. عن الفترة من 1 يناير 2022م إلى 30 سبتمبر 2022م.</w:t>
      </w:r>
      <w:r>
        <w:br/>
      </w:r>
      <w:r>
        <w:rPr>
          <w:rFonts w:ascii="Arial" w:hAnsi="Arial" w:cs="Arial" w:eastAsia="Arial"/>
          <w:color w:val="5A6478"/>
          <w:sz w:val="17"/>
          <w:szCs w:val="17"/>
          <w:rtl/>
        </w:rPr>
        <w:t>3. عن الفترة من 1 أكتوبر 2021م إلى 30 سبتمبر 2022م.</w:t>
      </w:r>
      <w:r>
        <w:br/>
      </w:r>
      <w:r>
        <w:rPr>
          <w:rFonts w:ascii="Arial" w:hAnsi="Arial" w:cs="Arial" w:eastAsia="Arial"/>
          <w:color w:val="5A6478"/>
          <w:sz w:val="17"/>
          <w:szCs w:val="17"/>
          <w:rtl/>
        </w:rPr>
        <w:t>4. الانحراف المعياري هو مقياس للمخاطر ويتم حسابه على أنه التذبذب بين العوائد على مدى فترة زمنية. كلما انخفض التقلب، كانت مجموعة العوائد أكثر تجانسًا.</w:t>
      </w:r>
      <w:r>
        <w:br/>
      </w:r>
      <w:r>
        <w:rPr>
          <w:rFonts w:ascii="Arial" w:hAnsi="Arial" w:cs="Arial" w:eastAsia="Arial"/>
          <w:color w:val="5A6478"/>
          <w:sz w:val="17"/>
          <w:szCs w:val="17"/>
          <w:rtl/>
        </w:rPr>
        <w:t>5. مؤشر شارب هو مقياس أداء معدل المخاطر ويتم حسابه على أنه الفرق كعائد فائض لمدير الصندوق على المعدل الخالي من المخاطر، مقسومًا على الانحراف المعياري. كلما زاد معدل شارب للمحفظة، كلما كان أداءه حسب المخاطر أفضل.</w:t>
      </w:r>
      <w:r>
        <w:br/>
      </w:r>
      <w:r>
        <w:rPr>
          <w:rFonts w:ascii="Arial" w:hAnsi="Arial" w:cs="Arial" w:eastAsia="Arial"/>
          <w:color w:val="5A6478"/>
          <w:sz w:val="17"/>
          <w:szCs w:val="17"/>
          <w:rtl/>
        </w:rPr>
        <w:t>6. خطأ التتبع هو مقياس للمخاطر ويتم حسابه على أنه الانحراف المعياري بين عائد مدير الصندوق وعائد المؤشر. كلما انخفض خطأ التتبع، كلما انحرف مدير الصندوق عن المؤشر.</w:t>
      </w:r>
      <w:r>
        <w:br/>
      </w:r>
      <w:r>
        <w:rPr>
          <w:rFonts w:ascii="Arial" w:hAnsi="Arial" w:cs="Arial" w:eastAsia="Arial"/>
          <w:color w:val="5A6478"/>
          <w:sz w:val="17"/>
          <w:szCs w:val="17"/>
          <w:rtl/>
        </w:rPr>
        <w:t>7. بيتا هو مقياس لمتوسط الحساسية التاريخية لعوائد الصندوق مقارنة بعوائد السوق، ويتم احتسابها عن طريق حساب تغاير سعر الوحدة ومؤشر السوق على تباين مؤشر السوق.</w:t>
      </w:r>
      <w:r>
        <w:br/>
      </w:r>
      <w:r>
        <w:rPr>
          <w:rFonts w:ascii="Arial" w:hAnsi="Arial" w:cs="Arial" w:eastAsia="Arial"/>
          <w:color w:val="5A6478"/>
          <w:sz w:val="17"/>
          <w:szCs w:val="17"/>
          <w:rtl/>
        </w:rPr>
        <w:t>8. ألفا يقيس أي تفوق حققه أداء الصندوق مقارنةً بأداء المؤشر المرتبط به.</w:t>
      </w:r>
      <w:r>
        <w:br/>
      </w:r>
      <w:r>
        <w:rPr>
          <w:rFonts w:ascii="Arial" w:hAnsi="Arial" w:cs="Arial" w:eastAsia="Arial"/>
          <w:color w:val="5A6478"/>
          <w:sz w:val="17"/>
          <w:szCs w:val="17"/>
          <w:rtl/>
        </w:rPr>
        <w:t>9. مؤشر المعلومات هو عبارة عن مقياس أداء معدل المخاطر ويتم حسابه على أنه العائد النشط لمدير الصندوق مقسومًا على خطأ التتبع الخاص به. كلما ارتفع معدل المعلومات، كلما ازدادت قدرة مدير الصندوق على تحقيق عوائد زائدة لكل وحدة من المخاطر الزائدة. تم احتساب معايير الأداء والمخاطر بناءً على أسعار تداول للوحدة في السوق.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1" name="Picture 9043"/>
            <wp:cNvGraphicFramePr>
              <a:graphicFrameLocks noChangeAspect="1"/>
            </wp:cNvGraphicFramePr>
            <a:graphic>
              <a:graphicData uri="http://schemas.openxmlformats.org/drawingml/2006/picture">
                <pic:pic>
                  <pic:nvPicPr>
                    <pic:cNvPr id="0" name="ico_c788ceab6c6867ef93d8dd6b26beef99.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مستجدات الصندوق وأي تغيرات أساسية أو غير أساسية تؤثر على عمل الصندوق</w:t>
      </w:r>
    </w:p>
    <w:p>
      <w:pPr>
        <w:bidi w:val="1"/>
        <w:spacing w:before="0" w:after="80" w:line="312" w:lineRule="auto"/>
      </w:pPr>
      <w:r>
        <w:rPr>
          <w:rFonts w:ascii="Arial" w:hAnsi="Arial" w:cs="Arial" w:eastAsia="Arial"/>
          <w:color w:val="0E1E3A"/>
          <w:sz w:val="20"/>
          <w:szCs w:val="20"/>
          <w:rtl/>
        </w:rPr>
        <w:t>لا يوجد مستجدات أو تغييرات أساسية أو غير أساسية تؤثر على عمل الصندوق.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2" name="Picture 904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نظرة على قطاع الإجارة والتمويل التجاري والصكوك</w:t>
      </w:r>
    </w:p>
    <w:p>
      <w:pPr>
        <w:pStyle w:val="Heading3"/>
        <w:keepNext/>
        <w:bidi w:val="1"/>
        <w:spacing w:before="160" w:after="100" w:line="300" w:lineRule="auto"/>
      </w:pPr>
      <w:r>
        <w:rPr>
          <w:rFonts w:ascii="Arial" w:hAnsi="Arial" w:cs="Arial" w:eastAsia="Arial"/>
          <w:b/>
          <w:bCs/>
          <w:color w:val="12284B"/>
          <w:sz w:val="22"/>
          <w:szCs w:val="22"/>
          <w:rtl/>
        </w:rPr>
        <w:t>نظرة على قطاع الإجارة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خلال الربع الثالث من عام 2022م، أدى ارتفاع التضخم بين الاقتصادات العالمية إلى تباطؤ النمو، لكن معلومات سوق العمل القوية قد عوضت إلى حد ما التأثير على قطاع الإجارة. ونتيجةً لذلك، أظهر مؤشر الإيجار والتمويل الشهري (MLFI-25)، الذي يشير إلى النشاط الاقتصادي الذي يبلغ 900 مليار دولار أمريكي في الولايات المتحدة لعدد (25) شركة تمثل قطاعات مختلفة للإجارة، حجم أعمالهم التجارية الجديدة الإجمالية لشهر يوليو البالغ 10.1 مليار دولار أمريكي، بزيادة </w:t>
      </w:r>
      <w:r>
        <w:rPr>
          <w:rFonts w:ascii="Arial" w:hAnsi="Arial" w:cs="Arial" w:eastAsia="Arial"/>
          <w:color w:val="0E1E3A"/>
          <w:sz w:val="20"/>
          <w:szCs w:val="20"/>
        </w:rPr>
        <w:t>‎2%‎</w:t>
      </w:r>
      <w:r>
        <w:rPr>
          <w:rFonts w:ascii="Arial" w:hAnsi="Arial" w:cs="Arial" w:eastAsia="Arial"/>
          <w:color w:val="0E1E3A"/>
          <w:sz w:val="20"/>
          <w:szCs w:val="20"/>
          <w:rtl/>
        </w:rPr>
        <w:t xml:space="preserve"> على أساس سنوي من حجم الأعمال الجديدة في يوليو 2021م. وقد ارتفع حجم الأعمال التراكمية الجديدة بنسبة </w:t>
      </w:r>
      <w:r>
        <w:rPr>
          <w:rFonts w:ascii="Arial" w:hAnsi="Arial" w:cs="Arial" w:eastAsia="Arial"/>
          <w:color w:val="0E1E3A"/>
          <w:sz w:val="20"/>
          <w:szCs w:val="20"/>
        </w:rPr>
        <w:t>‎5%‎</w:t>
      </w:r>
      <w:r>
        <w:rPr>
          <w:rFonts w:ascii="Arial" w:hAnsi="Arial" w:cs="Arial" w:eastAsia="Arial"/>
          <w:color w:val="0E1E3A"/>
          <w:sz w:val="20"/>
          <w:szCs w:val="20"/>
          <w:rtl/>
        </w:rPr>
        <w:t xml:space="preserve"> منذ بداية العام مقارنة بعام 2021م.</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وفي الوقت نفسه، بلغ مؤشر الثقة الشهري لمؤسسة تأجير المعدات والتمويل (MCI-EFI) 50 وذلك في أغسطس 2022م، بزيادة من 46.1 في يوليو 2022م. على الرغم من ارتفاع أسعار الفائدة، والاضطرابات المستمرة في سلسلة التوريد، وارتفاع التضخم، لا تزال صناعة الإجارة تقدم قيمة للشركات التي تعتمد عليها للحصول على المعدات الرأسمالية اللازمة لتشغيل عملياتها.</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مازالت (ELFA) تلاحظ اهتمامًا قويًا من أصحاب الأعمال التجارية الزراعية والمنتجين بينما يتطلعون إلى توسيع عملياتهم وتحقيق معدلات منخفضة طويلة الأجل. ويتفوق الطلب على العرض حيث تستمر الصناعة في مواجهة تأخيرات في تسليم المعدات بسبب استمرار تحديات سلسلة التوريد.</w:t>
      </w:r>
    </w:p>
    <w:p>
      <w:pPr>
        <w:pStyle w:val="Heading3"/>
        <w:keepNext/>
        <w:bidi w:val="1"/>
        <w:spacing w:before="160" w:after="100" w:line="300" w:lineRule="auto"/>
      </w:pPr>
      <w:r>
        <w:rPr>
          <w:rFonts w:ascii="Arial" w:hAnsi="Arial" w:cs="Arial" w:eastAsia="Arial"/>
          <w:b/>
          <w:bCs/>
          <w:color w:val="12284B"/>
          <w:sz w:val="22"/>
          <w:szCs w:val="22"/>
          <w:rtl/>
        </w:rPr>
        <w:t>نظرة على التمويل التجاري</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وفقًا لآخر تقرير صادر عن مؤتمر الأمم المتحدة للتجارة والتنمية (UNCTAD)، ارتفعت قيمة التجارة العالمية بنسبة </w:t>
      </w:r>
      <w:r>
        <w:rPr>
          <w:rFonts w:ascii="Arial" w:hAnsi="Arial" w:cs="Arial" w:eastAsia="Arial"/>
          <w:color w:val="0E1E3A"/>
          <w:sz w:val="20"/>
          <w:szCs w:val="20"/>
        </w:rPr>
        <w:t>‎15%‎</w:t>
      </w:r>
      <w:r>
        <w:rPr>
          <w:rFonts w:ascii="Arial" w:hAnsi="Arial" w:cs="Arial" w:eastAsia="Arial"/>
          <w:color w:val="0E1E3A"/>
          <w:sz w:val="20"/>
          <w:szCs w:val="20"/>
          <w:rtl/>
        </w:rPr>
        <w:t xml:space="preserve"> تقريبًا لتصل إلى 7.7 تريليون دولار أمريكي في الربع الأول من عام 2022م. وأحدث البيانات للربع الثاني من عام 2022م من (S&amp;P Global Market Intelligence) تشير إلى النمو الإيجابي للصادرات والواردات على أساس سنوي في جميع البلدان العشرة التي تتبعها الوكالة.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على الصعيد العالمي، تكثف البنوك تمويل التجارة على السلع العالمية وفقًا لمقال نشرته بلومبرج مؤخرًا. نظرًا لأن التمويل التجاري هو الشريان الرئيسي لصناعة السلع الأساسية، ومع ارتفاع الأسعار بسبب الصراع في أوكرانيا وتعطل طرق الإمداد، يطالب التجار بأموال إضافية لدفع ثمن شحنات الحبوب والمعادن والوقود.</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ركز تقرير تمويل التجارة العالمي الأخير (TFG) على الشركات الأوروبية الصغيرة والمتوسطة فعلى الرغم من التضخم المرتفع، وأسعار الطاقة القياسية، وعدم اليقين الجيوسياسي، فإن الطلب على تمويل التجارة للشركات الصغيرة والمتوسطة في ارتفاع.</w:t>
      </w:r>
    </w:p>
    <w:p>
      <w:pPr>
        <w:pStyle w:val="Heading3"/>
        <w:keepNext/>
        <w:bidi w:val="1"/>
        <w:spacing w:before="160" w:after="100" w:line="300" w:lineRule="auto"/>
      </w:pPr>
      <w:r>
        <w:rPr>
          <w:rFonts w:ascii="Arial" w:hAnsi="Arial" w:cs="Arial" w:eastAsia="Arial"/>
          <w:b/>
          <w:bCs/>
          <w:color w:val="12284B"/>
          <w:sz w:val="22"/>
          <w:szCs w:val="22"/>
          <w:rtl/>
        </w:rPr>
        <w:t>نظرة على قطاع الصكوك</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تباطأ إصدار الصكوك الدولية في النصف الأول من عام 2022م على الرغم من وجود نشاط قوي من المصدرين خلال الربع الأول، مستفيدين من الطلب القوي من المستثمرين الأجانب. جمعت الصكوك الدولية 22 مليار دولار أمريكي في النصف الأول من عام 2022م، بانخفاض </w:t>
      </w:r>
      <w:r>
        <w:rPr>
          <w:rFonts w:ascii="Arial" w:hAnsi="Arial" w:cs="Arial" w:eastAsia="Arial"/>
          <w:color w:val="0E1E3A"/>
          <w:sz w:val="20"/>
          <w:szCs w:val="20"/>
        </w:rPr>
        <w:t>‎10%‎</w:t>
      </w:r>
      <w:r>
        <w:rPr>
          <w:rFonts w:ascii="Arial" w:hAnsi="Arial" w:cs="Arial" w:eastAsia="Arial"/>
          <w:color w:val="0E1E3A"/>
          <w:sz w:val="20"/>
          <w:szCs w:val="20"/>
          <w:rtl/>
        </w:rPr>
        <w:t xml:space="preserve"> من 33.2 مليار دولار أمريكي في النصف الأول من عام 2021م.</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وفقًا لوكالة موديز للتصنيفات الائتمانية، من المتوقع أن ينخفض إصدار الصكوك العالمية من 181 مليار دولار أمريكي في عام 2021م إلى ما بين 160 مليار دولار أمريكي و170 مليار دولار أمريكي في عام 2022م. ووفقًا لـ (Refinitiv)، من المتوقع أن يتراجع إصدار الصكوك العالمية قليلاً ليستقر عند 185 مليار دولار أمريكي في عام 2022م. ومن المتوقع أن ينمو الإصدار بعد ذلك بنسبة </w:t>
      </w:r>
      <w:r>
        <w:rPr>
          <w:rFonts w:ascii="Arial" w:hAnsi="Arial" w:cs="Arial" w:eastAsia="Arial"/>
          <w:color w:val="0E1E3A"/>
          <w:sz w:val="20"/>
          <w:szCs w:val="20"/>
        </w:rPr>
        <w:t>‎6.4%‎</w:t>
      </w:r>
      <w:r>
        <w:rPr>
          <w:rFonts w:ascii="Arial" w:hAnsi="Arial" w:cs="Arial" w:eastAsia="Arial"/>
          <w:color w:val="0E1E3A"/>
          <w:sz w:val="20"/>
          <w:szCs w:val="20"/>
          <w:rtl/>
        </w:rPr>
        <w:t xml:space="preserve"> سنويًا على مدى السنوات الخمس المقبلة، ليصل إلى 257 مليار دولار أمريكي في عام 2027م.</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من حيث الأداء، من المقرر أن تسجل الخسائر الهائلة في سوق السندات العالمية التي شهدها عام 2022م أسوأ عام لها منذ عقود، حيث تكبد سوق الصكوك تراجعًا ملحوظًا منذ بداية العام فقد حقق مؤشر داو جونز للصكوك انخفاض بنسبة </w:t>
      </w:r>
      <w:r>
        <w:rPr>
          <w:rFonts w:ascii="Arial" w:hAnsi="Arial" w:cs="Arial" w:eastAsia="Arial"/>
          <w:color w:val="0E1E3A"/>
          <w:sz w:val="20"/>
          <w:szCs w:val="20"/>
        </w:rPr>
        <w:t>‎9.63%‎</w:t>
      </w:r>
      <w:r>
        <w:rPr>
          <w:rFonts w:ascii="Arial" w:hAnsi="Arial" w:cs="Arial" w:eastAsia="Arial"/>
          <w:color w:val="0E1E3A"/>
          <w:sz w:val="20"/>
          <w:szCs w:val="20"/>
          <w:rtl/>
        </w:rPr>
        <w:t xml:space="preserve"> منذ بداية العام.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3" name="Picture 904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سعر الوحدة المتداولة في السوق منذ بدء الصندوق *</w:t>
      </w:r>
    </w:p>
    <w:p>
      <w:pPr>
        <w:bidi w:val="1"/>
        <w:spacing w:before="0" w:after="80" w:line="240" w:lineRule="auto"/>
        <w:jc w:val="center"/>
      </w:pPr>
      <w:r>
        <w:drawing>
          <wp:inline xmlns:a="http://schemas.openxmlformats.org/drawingml/2006/main" xmlns:pic="http://schemas.openxmlformats.org/drawingml/2006/picture">
            <wp:extent cx="6336000" cy="2825514"/>
            <wp:docPr id="24" name="Picture 9046"/>
            <wp:cNvGraphicFramePr>
              <a:graphicFrameLocks noChangeAspect="1"/>
            </wp:cNvGraphicFramePr>
            <a:graphic>
              <a:graphicData uri="http://schemas.openxmlformats.org/drawingml/2006/picture">
                <pic:pic>
                  <pic:nvPicPr>
                    <pic:cNvPr id="0" name="x5.j.jpg"/>
                    <pic:cNvPicPr/>
                  </pic:nvPicPr>
                  <pic:blipFill>
                    <a:blip r:embed="rId23"/>
                    <a:stretch>
                      <a:fillRect/>
                    </a:stretch>
                  </pic:blipFill>
                  <pic:spPr>
                    <a:xfrm>
                      <a:off x="0" y="0"/>
                      <a:ext cx="6336000" cy="2825514"/>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 الأسعار كما في 30 سبتمبر 2022م.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5" name="Picture 904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للحصول على مزيد من المعلومات</w:t>
      </w:r>
    </w:p>
    <w:p>
      <w:pPr>
        <w:bidi w:val="1"/>
        <w:spacing w:before="0" w:after="80" w:line="312" w:lineRule="auto"/>
      </w:pPr>
      <w:r>
        <w:rPr>
          <w:rFonts w:ascii="Arial" w:hAnsi="Arial" w:cs="Arial" w:eastAsia="Arial"/>
          <w:color w:val="0E1E3A"/>
          <w:sz w:val="20"/>
          <w:szCs w:val="20"/>
          <w:rtl/>
        </w:rPr>
        <w:t>شركة الخبير المالية</w:t>
      </w:r>
      <w:r>
        <w:br/>
      </w:r>
      <w:r>
        <w:rPr>
          <w:rFonts w:ascii="Arial" w:hAnsi="Arial" w:cs="Arial" w:eastAsia="Arial"/>
          <w:color w:val="0E1E3A"/>
          <w:sz w:val="20"/>
          <w:szCs w:val="20"/>
          <w:rtl/>
        </w:rPr>
        <w:t>ص.ب 128289 جدة 21362</w:t>
      </w:r>
      <w:r>
        <w:br/>
      </w:r>
      <w:r>
        <w:rPr>
          <w:rFonts w:ascii="Arial" w:hAnsi="Arial" w:cs="Arial" w:eastAsia="Arial"/>
          <w:color w:val="0E1E3A"/>
          <w:sz w:val="20"/>
          <w:szCs w:val="20"/>
          <w:rtl/>
        </w:rPr>
        <w:t>المملكة العربية السعودية</w:t>
      </w:r>
      <w:r>
        <w:br/>
      </w:r>
      <w:r>
        <w:rPr>
          <w:rFonts w:ascii="Arial" w:hAnsi="Arial" w:cs="Arial" w:eastAsia="Arial"/>
          <w:color w:val="0E1E3A"/>
          <w:sz w:val="20"/>
          <w:szCs w:val="20"/>
          <w:rtl/>
        </w:rPr>
        <w:t xml:space="preserve">هاتف: </w:t>
      </w:r>
      <w:r>
        <w:rPr>
          <w:rFonts w:ascii="Arial" w:hAnsi="Arial" w:cs="Arial" w:eastAsia="Arial"/>
          <w:color w:val="0E1E3A"/>
          <w:sz w:val="20"/>
          <w:szCs w:val="20"/>
        </w:rPr>
        <w:t>‎+966 12 658 8888‎</w:t>
      </w:r>
      <w:r>
        <w:br/>
      </w:r>
      <w:r>
        <w:rPr>
          <w:rFonts w:ascii="Arial" w:hAnsi="Arial" w:cs="Arial" w:eastAsia="Arial"/>
          <w:color w:val="0E1E3A"/>
          <w:sz w:val="20"/>
          <w:szCs w:val="20"/>
          <w:rtl/>
        </w:rPr>
        <w:t xml:space="preserve">فاكس: </w:t>
      </w:r>
      <w:r>
        <w:rPr>
          <w:rFonts w:ascii="Arial" w:hAnsi="Arial" w:cs="Arial" w:eastAsia="Arial"/>
          <w:color w:val="0E1E3A"/>
          <w:sz w:val="20"/>
          <w:szCs w:val="20"/>
        </w:rPr>
        <w:t>‎+966 12 658 6663‎</w:t>
      </w:r>
      <w:r>
        <w:br/>
      </w:r>
      <w:r>
        <w:rPr>
          <w:rFonts w:ascii="Arial" w:hAnsi="Arial" w:cs="Arial" w:eastAsia="Arial"/>
          <w:color w:val="0E1E3A"/>
          <w:sz w:val="20"/>
          <w:szCs w:val="20"/>
          <w:rtl/>
        </w:rPr>
        <w:t>البريد الإلكتروني: info@alkhabeer.com</w:t>
      </w:r>
      <w:r>
        <w:br/>
      </w:r>
      <w:r>
        <w:rPr>
          <w:rFonts w:ascii="Arial" w:hAnsi="Arial" w:cs="Arial" w:eastAsia="Arial"/>
          <w:color w:val="0E1E3A"/>
          <w:sz w:val="20"/>
          <w:szCs w:val="20"/>
          <w:rtl/>
        </w:rPr>
        <w:t>رقم السجل التجاري: 4030177445</w:t>
      </w:r>
      <w:r>
        <w:br/>
      </w:r>
      <w:r>
        <w:rPr>
          <w:rFonts w:ascii="Arial" w:hAnsi="Arial" w:cs="Arial" w:eastAsia="Arial"/>
          <w:color w:val="0E1E3A"/>
          <w:sz w:val="20"/>
          <w:szCs w:val="20"/>
          <w:rtl/>
        </w:rPr>
        <w:t xml:space="preserve">الرخصة الصادرة من هيئة السوق المالية: </w:t>
      </w:r>
      <w:r>
        <w:rPr>
          <w:rFonts w:ascii="Arial" w:hAnsi="Arial" w:cs="Arial" w:eastAsia="Arial"/>
          <w:color w:val="0E1E3A"/>
          <w:sz w:val="20"/>
          <w:szCs w:val="20"/>
        </w:rPr>
        <w:t>‎07074-37‎</w:t>
      </w:r>
      <w:r>
        <w:br/>
      </w:r>
      <w:r>
        <w:rPr>
          <w:rFonts w:ascii="Arial" w:hAnsi="Arial" w:cs="Arial" w:eastAsia="Arial"/>
          <w:color w:val="0E1E3A"/>
          <w:sz w:val="20"/>
          <w:szCs w:val="20"/>
          <w:rtl/>
        </w:rPr>
        <w:t>www.alkhabeer.com</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6" name="Picture 9048"/>
            <wp:cNvGraphicFramePr>
              <a:graphicFrameLocks noChangeAspect="1"/>
            </wp:cNvGraphicFramePr>
            <a:graphic>
              <a:graphicData uri="http://schemas.openxmlformats.org/drawingml/2006/picture">
                <pic:pic>
                  <pic:nvPicPr>
                    <pic:cNvPr id="0" name="ico_31799530e5dd3dc5b4ca7f2d37945432.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إشعار مهم</w:t>
      </w:r>
    </w:p>
    <w:p>
      <w:pPr>
        <w:bidi w:val="1"/>
        <w:spacing w:before="0" w:after="80" w:line="312" w:lineRule="auto"/>
      </w:pPr>
      <w:r>
        <w:rPr>
          <w:rFonts w:ascii="Arial" w:hAnsi="Arial" w:cs="Arial" w:eastAsia="Arial"/>
          <w:color w:val="5A6478"/>
          <w:sz w:val="17"/>
          <w:szCs w:val="17"/>
          <w:rtl/>
        </w:rPr>
        <w:t>لا تمثل هذه الوثيقة عرضًا للشراء أو الاكتتاب أو المشاركة بأي شكل في صندوق "الخبير للدخل المتنوع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للدخل"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يعد استثمار المستثمر في الصندوق إقرارًا منه باطلاعه على شروط وأحكام الصندوق وقبوله بها. تنتفي المسؤولية عن مدير الصندوق أو أي من تابعيه في حال وقوع أي خسارة مالية للصندوق ما لم يكن ذلك ناتجًا عن أسباب متعمدة من قبل مدير الصندوق. الاستثمار في الصندوق خاضع للرسوم كما هو مذكور في الشروط والأحكام.</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bidi w:val="1"/>
      <w:spacing w:before="0" w:after="0" w:line="240" w:lineRule="auto"/>
    </w:pPr>
    <w:r/>
    <w:r>
      <w:rPr>
        <w:rFonts w:ascii="Arial" w:hAnsi="Arial" w:cs="Arial" w:eastAsia="Arial"/>
        <w:color w:val="5A6478"/>
        <w:sz w:val="15"/>
        <w:szCs w:val="15"/>
        <w:rtl/>
      </w:rPr>
      <w:t>البيان الربع سنوي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ar-S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Arial" w:hAnsi="Arial" w:cs="Arial" w:eastAsia="Arial"/>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0" w:after="100"/>
      <w:outlineLvl w:val="0"/>
    </w:pPr>
    <w:rPr>
      <w:rFonts w:ascii="Arial" w:hAnsi="Arial" w:cs="Arial" w:eastAsia="Arial"/>
      <w:b/>
      <w:bCs/>
      <w:color w:val="12284B"/>
      <w:sz w:val="36"/>
      <w:szCs w:val="28"/>
      <w:rtl/>
    </w:rPr>
  </w:style>
  <w:style w:type="paragraph" w:styleId="Heading2">
    <w:name w:val="heading 2"/>
    <w:basedOn w:val="Normal"/>
    <w:next w:val="Normal"/>
    <w:link w:val="Heading2Char"/>
    <w:uiPriority w:val="9"/>
    <w:unhideWhenUsed/>
    <w:qFormat/>
    <w:rsid w:val="00FC693F"/>
    <w:pPr>
      <w:keepNext/>
      <w:keepLines/>
      <w:bidi w:val="1"/>
      <w:spacing w:before="200" w:after="100"/>
      <w:outlineLvl w:val="1"/>
    </w:pPr>
    <w:rPr>
      <w:rFonts w:ascii="Arial" w:hAnsi="Arial" w:cs="Arial" w:eastAsia="Arial"/>
      <w:b/>
      <w:bCs/>
      <w:color w:val="12284B"/>
      <w:sz w:val="26"/>
      <w:szCs w:val="26"/>
      <w:rtl/>
    </w:rPr>
  </w:style>
  <w:style w:type="paragraph" w:styleId="Heading3">
    <w:name w:val="heading 3"/>
    <w:basedOn w:val="Normal"/>
    <w:next w:val="Normal"/>
    <w:link w:val="Heading3Char"/>
    <w:uiPriority w:val="9"/>
    <w:unhideWhenUsed/>
    <w:qFormat/>
    <w:rsid w:val="00FC693F"/>
    <w:pPr>
      <w:keepNext/>
      <w:keepLines/>
      <w:bidi w:val="1"/>
      <w:spacing w:before="200" w:after="100"/>
      <w:outlineLvl w:val="2"/>
    </w:pPr>
    <w:rPr>
      <w:rFonts w:ascii="Arial" w:hAnsi="Arial" w:cs="Arial" w:eastAsia="Arial"/>
      <w:b/>
      <w:bCs/>
      <w:color w:val="12284B"/>
      <w:sz w:val="22"/>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val="1"/>
      <w:spacing w:after="300" w:line="240" w:lineRule="auto"/>
      <w:contextualSpacing/>
    </w:pPr>
    <w:rPr>
      <w:rFonts w:ascii="Arial" w:hAnsi="Arial" w:cs="Arial" w:eastAsia="Arial"/>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val="1"/>
      <w:ind w:left="720"/>
      <w:contextualSpacing/>
    </w:pPr>
    <w:rPr>
      <w:rFonts w:ascii="Arial" w:hAnsi="Arial" w:cs="Arial" w:eastAsia="Arial"/>
      <w:rt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jp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صندوق الخبير للدخل المتنوع المتداول — البيان الربع سنوي الربع الثالث 2022م</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