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3"/>
            <wp:cNvGraphicFramePr/>
            <a:graphic>
              <a:graphicData uri="http://schemas.openxmlformats.org/drawingml/2006/picture">
                <pic:pic>
                  <pic:nvPicPr>
                    <pic:cNvPr id="9023" name="banner9023.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4"/>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9.7756</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555,514,335</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91,686,496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16.50%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19.84%</w:t>
            </w:r>
          </w:p>
        </w:tc>
      </w:tr>
      <w:tr>
        <w:tc>
          <w:tcPr>
            <w:tcW w:type="dxa" w:w="3118"/>
            <w:shd w:val="clear" w:color="auto" w:fill="F3F6FB"/>
          </w:tcPr>
          <w:p>
            <w:pPr>
              <w:spacing w:before="0" w:after="0" w:line="276" w:lineRule="auto"/>
            </w:pPr>
            <w:r>
              <w:rPr>
                <w:rFonts w:ascii="Arial" w:hAnsi="Arial" w:cs="Arial" w:eastAsia="Arial"/>
                <w:color w:val="5A6478"/>
                <w:sz w:val="18"/>
                <w:szCs w:val="18"/>
              </w:rPr>
              <w:t>VALUE AND 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0.34%</w:t>
            </w:r>
          </w:p>
        </w:tc>
      </w:tr>
    </w:tbl>
    <w:p>
      <w:pPr>
        <w:spacing w:before="0" w:after="40" w:line="300" w:lineRule="auto"/>
      </w:pPr>
    </w:p>
    <w:p>
      <w:pPr>
        <w:spacing w:before="0" w:after="80" w:line="312" w:lineRule="auto"/>
      </w:pPr>
      <w:r>
        <w:rPr>
          <w:rFonts w:ascii="Arial" w:hAnsi="Arial" w:cs="Arial" w:eastAsia="Arial"/>
          <w:color w:val="5A6478"/>
          <w:sz w:val="17"/>
          <w:szCs w:val="17"/>
        </w:rPr>
        <w:t>* As at 30 September 2022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27"/>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The graph shows the largest Fund investments and the distribution of investments by sector.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555,514,335</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462,205,513</w:t>
            </w:r>
          </w:p>
        </w:tc>
      </w:tr>
      <w:tr>
        <w:tc>
          <w:tcPr>
            <w:tcW w:type="dxa" w:w="3118"/>
            <w:shd w:val="clear" w:color="auto" w:fill="F3F6FB"/>
          </w:tcPr>
          <w:p>
            <w:pPr>
              <w:spacing w:before="0" w:after="0" w:line="276" w:lineRule="auto"/>
            </w:pPr>
            <w:r>
              <w:rPr>
                <w:rFonts w:ascii="Arial" w:hAnsi="Arial" w:cs="Arial" w:eastAsia="Arial"/>
                <w:color w:val="5A6478"/>
                <w:sz w:val="18"/>
                <w:szCs w:val="18"/>
              </w:rPr>
              <w:t>AMOUNT AND 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0.52%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0.62%</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COSTS AND FEES FOR THE REPORTING QUARTER</w:t>
            </w:r>
          </w:p>
        </w:tc>
        <w:tc>
          <w:tcPr>
            <w:tcW w:type="dxa" w:w="6860"/>
          </w:tcPr>
          <w:p>
            <w:pPr>
              <w:spacing w:before="0" w:after="0" w:line="276" w:lineRule="auto"/>
            </w:pPr>
            <w:r>
              <w:rPr>
                <w:rFonts w:ascii="Arial" w:hAnsi="Arial" w:cs="Arial" w:eastAsia="Arial"/>
                <w:b/>
                <w:bCs/>
                <w:color w:val="0E1E3A"/>
                <w:sz w:val="18"/>
                <w:szCs w:val="18"/>
              </w:rPr>
              <w:t>SAR 2,890,637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0.43%</w:t>
            </w:r>
          </w:p>
        </w:tc>
      </w:tr>
    </w:tbl>
    <w:p>
      <w:pPr>
        <w:spacing w:before="0" w:after="40" w:line="300" w:lineRule="auto"/>
      </w:pPr>
    </w:p>
    <w:p>
      <w:pPr>
        <w:spacing w:before="0" w:after="80" w:line="312" w:lineRule="auto"/>
      </w:pPr>
      <w:r>
        <w:rPr>
          <w:rFonts w:ascii="Arial" w:hAnsi="Arial" w:cs="Arial" w:eastAsia="Arial"/>
          <w:color w:val="5A6478"/>
          <w:sz w:val="17"/>
          <w:szCs w:val="17"/>
        </w:rPr>
        <w:t>* As at 30 September 2022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***Fund costs are all Fund fees and expenses, including financing costs.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0"/>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112,093,705</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198,294,542</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67,155,550</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138,679,206</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39,291,332</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32"/>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1" name="Picture 9033"/>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2968216"/>
                    </a:xfrm>
                    <a:prstGeom prst="rect"/>
                  </pic:spPr>
                </pic:pic>
              </a:graphicData>
            </a:graphic>
          </wp:inline>
        </w:drawing>
      </w: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2022</w:t>
            </w:r>
          </w:p>
        </w:tc>
        <w:tc>
          <w:tcPr>
            <w:tcW w:type="dxa" w:w="6860"/>
          </w:tcPr>
          <w:p>
            <w:pPr>
              <w:spacing w:before="0" w:after="0" w:line="276" w:lineRule="auto"/>
            </w:pPr>
            <w:r>
              <w:rPr>
                <w:rFonts w:ascii="Arial" w:hAnsi="Arial" w:cs="Arial" w:eastAsia="Arial"/>
                <w:b/>
                <w:bCs/>
                <w:color w:val="0E1E3A"/>
                <w:sz w:val="18"/>
                <w:szCs w:val="18"/>
              </w:rPr>
              <w:t>SAR 402,838,124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342,317,843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2022</w:t>
            </w:r>
          </w:p>
        </w:tc>
        <w:tc>
          <w:tcPr>
            <w:tcW w:type="dxa" w:w="6860"/>
          </w:tcPr>
          <w:p>
            <w:pPr>
              <w:spacing w:before="0" w:after="0" w:line="276" w:lineRule="auto"/>
            </w:pPr>
            <w:r>
              <w:rPr>
                <w:rFonts w:ascii="Arial" w:hAnsi="Arial" w:cs="Arial" w:eastAsia="Arial"/>
                <w:b/>
                <w:bCs/>
                <w:color w:val="0E1E3A"/>
                <w:sz w:val="18"/>
                <w:szCs w:val="18"/>
              </w:rPr>
              <w:t>SAR 339,480,955</w:t>
            </w:r>
          </w:p>
        </w:tc>
      </w:tr>
    </w:tbl>
    <w:p>
      <w:pPr>
        <w:spacing w:before="0" w:after="40" w:line="300" w:lineRule="auto"/>
      </w:pP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Q3 (30 SEPTEMBER 2022)</w:t>
            </w:r>
          </w:p>
        </w:tc>
        <w:tc>
          <w:tcPr>
            <w:tcW w:type="dxa" w:w="6860"/>
          </w:tcPr>
          <w:p>
            <w:pPr>
              <w:spacing w:before="0" w:after="0" w:line="276" w:lineRule="auto"/>
            </w:pPr>
            <w:r>
              <w:rPr>
                <w:rFonts w:ascii="Arial" w:hAnsi="Arial" w:cs="Arial" w:eastAsia="Arial"/>
                <w:b/>
                <w:bCs/>
                <w:color w:val="0E1E3A"/>
                <w:sz w:val="18"/>
                <w:szCs w:val="18"/>
              </w:rPr>
              <w:t>SAR 7.18</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 (FROM 30 JUNE 2022 TO 30 SEPTEMBER 2022)*</w:t>
            </w:r>
          </w:p>
        </w:tc>
        <w:tc>
          <w:tcPr>
            <w:tcW w:type="dxa" w:w="6860"/>
          </w:tcPr>
          <w:p>
            <w:pPr>
              <w:spacing w:before="0" w:after="0" w:line="276" w:lineRule="auto"/>
            </w:pPr>
            <w:r>
              <w:rPr>
                <w:rFonts w:ascii="Arial" w:hAnsi="Arial" w:cs="Arial" w:eastAsia="Arial"/>
                <w:b/>
                <w:bCs/>
                <w:color w:val="0E1E3A"/>
                <w:sz w:val="18"/>
                <w:szCs w:val="18"/>
              </w:rPr>
              <w:t>-0.83%</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Q3 2022)</w:t>
            </w:r>
          </w:p>
        </w:tc>
        <w:tc>
          <w:tcPr>
            <w:tcW w:type="dxa" w:w="6860"/>
          </w:tcPr>
          <w:p>
            <w:pPr>
              <w:spacing w:before="0" w:after="0" w:line="276" w:lineRule="auto"/>
            </w:pPr>
            <w:r>
              <w:rPr>
                <w:rFonts w:ascii="Arial" w:hAnsi="Arial" w:cs="Arial" w:eastAsia="Arial"/>
                <w:b/>
                <w:bCs/>
                <w:color w:val="0E1E3A"/>
                <w:sz w:val="18"/>
                <w:szCs w:val="18"/>
              </w:rPr>
              <w:t>-28.20%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9.05</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7.11</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bl>
    <w:p>
      <w:pPr>
        <w:spacing w:before="0" w:after="40" w:line="300" w:lineRule="auto"/>
      </w:pPr>
    </w:p>
    <w:p>
      <w:pPr>
        <w:spacing w:before="0" w:after="80" w:line="312" w:lineRule="auto"/>
      </w:pPr>
      <w:r>
        <w:rPr>
          <w:rFonts w:ascii="Arial" w:hAnsi="Arial" w:cs="Arial" w:eastAsia="Arial"/>
          <w:color w:val="5A6478"/>
          <w:sz w:val="17"/>
          <w:szCs w:val="17"/>
        </w:rPr>
        <w:t>* Unit Price as at 30 June 2022 = SAR 7.24.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36"/>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 FOR THE QUARTER</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12,293,182</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INTIAL UNIT PRICE</w:t>
            </w:r>
          </w:p>
        </w:tc>
        <w:tc>
          <w:tcPr>
            <w:tcW w:type="dxa" w:w="6860"/>
          </w:tcPr>
          <w:p>
            <w:pPr>
              <w:spacing w:before="0" w:after="0" w:line="276" w:lineRule="auto"/>
            </w:pPr>
            <w:r>
              <w:rPr>
                <w:rFonts w:ascii="Arial" w:hAnsi="Arial" w:cs="Arial" w:eastAsia="Arial"/>
                <w:b/>
                <w:bCs/>
                <w:color w:val="0E1E3A"/>
                <w:sz w:val="18"/>
                <w:szCs w:val="18"/>
              </w:rPr>
              <w:t>2.60%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3.59%</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4,441,823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(30 SEPTEMBER 2022)</w:t>
            </w:r>
          </w:p>
        </w:tc>
        <w:tc>
          <w:tcPr>
            <w:tcW w:type="dxa" w:w="6860"/>
          </w:tcPr>
          <w:p>
            <w:pPr>
              <w:spacing w:before="0" w:after="0" w:line="276" w:lineRule="auto"/>
            </w:pPr>
            <w:r>
              <w:rPr>
                <w:rFonts w:ascii="Arial" w:hAnsi="Arial" w:cs="Arial" w:eastAsia="Arial"/>
                <w:b/>
                <w:bCs/>
                <w:color w:val="0E1E3A"/>
                <w:sz w:val="18"/>
                <w:szCs w:val="18"/>
              </w:rPr>
              <w:t>1.31%</w:t>
            </w:r>
          </w:p>
        </w:tc>
      </w:tr>
    </w:tbl>
    <w:p>
      <w:pPr>
        <w:spacing w:before="0" w:after="40" w:line="300" w:lineRule="auto"/>
      </w:pPr>
    </w:p>
    <w:p>
      <w:pPr>
        <w:spacing w:before="0" w:after="80" w:line="312" w:lineRule="auto"/>
      </w:pPr>
      <w:r>
        <w:rPr>
          <w:rFonts w:ascii="Arial" w:hAnsi="Arial" w:cs="Arial" w:eastAsia="Arial"/>
          <w:color w:val="5A6478"/>
          <w:sz w:val="17"/>
          <w:szCs w:val="17"/>
        </w:rPr>
        <w:t>* From 1 July 2022 to 30 September 2022.</w:t>
      </w:r>
      <w:r>
        <w:br/>
      </w:r>
      <w:r>
        <w:rPr>
          <w:rFonts w:ascii="Arial" w:hAnsi="Arial" w:cs="Arial" w:eastAsia="Arial"/>
          <w:color w:val="5A6478"/>
          <w:sz w:val="17"/>
          <w:szCs w:val="17"/>
        </w:rPr>
        <w:t>** From 1 January 2022 to 30 June 2022.</w:t>
      </w:r>
      <w:r>
        <w:br/>
      </w:r>
      <w:r>
        <w:rPr>
          <w:rFonts w:ascii="Arial" w:hAnsi="Arial" w:cs="Arial" w:eastAsia="Arial"/>
          <w:color w:val="5A6478"/>
          <w:sz w:val="17"/>
          <w:szCs w:val="17"/>
        </w:rPr>
        <w:t>*** Unit Price as at 30 June 2022 = SAR 7.24.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37"/>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12M LIBOR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-0.83%</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-28.20%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-21.30%</w:t>
            </w:r>
          </w:p>
        </w:tc>
      </w:tr>
    </w:tbl>
    <w:p>
      <w:pPr>
        <w:spacing w:before="0" w:after="40" w:line="300" w:lineRule="auto"/>
      </w:pPr>
    </w:p>
    <w:p>
      <w:pPr>
        <w:spacing w:before="0" w:after="80" w:line="312" w:lineRule="auto"/>
      </w:pPr>
      <w:r>
        <w:rPr>
          <w:rFonts w:ascii="Arial" w:hAnsi="Arial" w:cs="Arial" w:eastAsia="Arial"/>
          <w:color w:val="5A6478"/>
          <w:sz w:val="17"/>
          <w:szCs w:val="17"/>
        </w:rPr>
        <w:t>* Unit Price as at 30 June 2022 = SAR 7.24.</w:t>
      </w:r>
      <w:r>
        <w:br/>
      </w:r>
      <w:r>
        <w:rPr>
          <w:rFonts w:ascii="Arial" w:hAnsi="Arial" w:cs="Arial" w:eastAsia="Arial"/>
          <w:color w:val="5A6478"/>
          <w:sz w:val="17"/>
          <w:szCs w:val="17"/>
        </w:rPr>
        <w:t>** From the Fund’s Date of Inception to end Q3 2022.</w:t>
      </w:r>
      <w:r>
        <w:br/>
      </w:r>
      <w:r>
        <w:rPr>
          <w:rFonts w:ascii="Arial" w:hAnsi="Arial" w:cs="Arial" w:eastAsia="Arial"/>
          <w:color w:val="5A6478"/>
          <w:sz w:val="17"/>
          <w:szCs w:val="17"/>
        </w:rPr>
        <w:t>*** Total Return = Unit Price Performance + Total Dividend Distributions (if any).</w:t>
      </w:r>
      <w:r>
        <w:br/>
      </w:r>
      <w:r>
        <w:rPr>
          <w:rFonts w:ascii="Arial" w:hAnsi="Arial" w:cs="Arial" w:eastAsia="Arial"/>
          <w:color w:val="5A6478"/>
          <w:sz w:val="17"/>
          <w:szCs w:val="17"/>
        </w:rPr>
        <w:t>It should be noted that the Unit Price on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12-month LIBOR plus 300 bps.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39"/>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LIBOR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10.0028</w:t>
            </w:r>
          </w:p>
        </w:tc>
        <w:tc>
          <w:tcPr>
            <w:tcW w:type="dxa" w:w="3326"/>
          </w:tcPr>
          <w:p>
            <w:pPr>
              <w:spacing w:before="0" w:after="0" w:line="264" w:lineRule="auto"/>
            </w:pPr>
            <w:r>
              <w:rPr>
                <w:rFonts w:ascii="Arial" w:hAnsi="Arial" w:cs="Arial" w:eastAsia="Arial"/>
                <w:color w:val="0E1E3A"/>
                <w:sz w:val="17"/>
                <w:szCs w:val="17"/>
              </w:rPr>
              <w:t>NOT APPLICABLE</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9.7756</w:t>
            </w:r>
          </w:p>
        </w:tc>
        <w:tc>
          <w:tcPr>
            <w:tcW w:type="dxa" w:w="3326"/>
          </w:tcPr>
          <w:p>
            <w:pPr>
              <w:spacing w:before="0" w:after="0" w:line="264" w:lineRule="auto"/>
            </w:pPr>
            <w:r>
              <w:rPr>
                <w:rFonts w:ascii="Arial" w:hAnsi="Arial" w:cs="Arial" w:eastAsia="Arial"/>
                <w:color w:val="0E1E3A"/>
                <w:sz w:val="17"/>
                <w:szCs w:val="17"/>
              </w:rPr>
              <w:t>NOT APPLICABLE</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-2.27%</w:t>
            </w:r>
          </w:p>
        </w:tc>
        <w:tc>
          <w:tcPr>
            <w:tcW w:type="dxa" w:w="3326"/>
          </w:tcPr>
          <w:p>
            <w:pPr>
              <w:spacing w:before="0" w:after="0" w:line="264" w:lineRule="auto"/>
            </w:pPr>
            <w:r>
              <w:rPr>
                <w:rFonts w:ascii="Arial" w:hAnsi="Arial" w:cs="Arial" w:eastAsia="Arial"/>
                <w:color w:val="0E1E3A"/>
                <w:sz w:val="17"/>
                <w:szCs w:val="17"/>
              </w:rPr>
              <w:t>1.76%***</w:t>
            </w:r>
          </w:p>
        </w:tc>
      </w:tr>
    </w:tbl>
    <w:p>
      <w:pPr>
        <w:spacing w:before="0" w:after="40" w:line="300" w:lineRule="auto"/>
      </w:pPr>
    </w:p>
    <w:p>
      <w:pPr>
        <w:spacing w:before="0" w:after="80" w:line="312" w:lineRule="auto"/>
      </w:pPr>
      <w:r>
        <w:rPr>
          <w:rFonts w:ascii="Arial" w:hAnsi="Arial" w:cs="Arial" w:eastAsia="Arial"/>
          <w:color w:val="5A6478"/>
          <w:sz w:val="17"/>
          <w:szCs w:val="17"/>
        </w:rPr>
        <w:t>* As at 30 June 2022.</w:t>
      </w:r>
      <w:r>
        <w:br/>
      </w:r>
      <w:r>
        <w:rPr>
          <w:rFonts w:ascii="Arial" w:hAnsi="Arial" w:cs="Arial" w:eastAsia="Arial"/>
          <w:color w:val="5A6478"/>
          <w:sz w:val="17"/>
          <w:szCs w:val="17"/>
        </w:rPr>
        <w:t>** As at 30 September 2022.</w:t>
      </w:r>
      <w:r>
        <w:br/>
      </w:r>
      <w:r>
        <w:rPr>
          <w:rFonts w:ascii="Arial" w:hAnsi="Arial" w:cs="Arial" w:eastAsia="Arial"/>
          <w:color w:val="5A6478"/>
          <w:sz w:val="17"/>
          <w:szCs w:val="17"/>
        </w:rPr>
        <w:t>*** Benchmark average return is 7.08% per annum, or a return of 1.76% for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1"/>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spacing w:before="0" w:after="0" w:line="264" w:lineRule="auto"/>
            </w:pPr>
            <w:r>
              <w:rPr>
                <w:rFonts w:ascii="Arial" w:hAnsi="Arial" w:cs="Arial" w:eastAsia="Arial"/>
                <w:b/>
                <w:bCs/>
                <w:color w:val="FFFFFF"/>
                <w:sz w:val="17"/>
                <w:szCs w:val="17"/>
              </w:rPr>
              <w:t>ITEM</w:t>
            </w:r>
          </w:p>
        </w:tc>
        <w:tc>
          <w:tcPr>
            <w:tcW w:type="dxa" w:w="2494"/>
            <w:shd w:val="clear" w:color="auto" w:fill="12284B"/>
          </w:tcPr>
          <w:p>
            <w:pPr>
              <w:spacing w:before="0" w:after="0" w:line="264" w:lineRule="auto"/>
            </w:pPr>
            <w:r>
              <w:rPr>
                <w:rFonts w:ascii="Arial" w:hAnsi="Arial" w:cs="Arial" w:eastAsia="Arial"/>
                <w:b/>
                <w:bCs/>
                <w:color w:val="FFFFFF"/>
                <w:sz w:val="17"/>
                <w:szCs w:val="17"/>
              </w:rPr>
              <w:t>3 MONTHS*</w:t>
            </w:r>
          </w:p>
        </w:tc>
        <w:tc>
          <w:tcPr>
            <w:tcW w:type="dxa" w:w="2494"/>
            <w:shd w:val="clear" w:color="auto" w:fill="12284B"/>
          </w:tcPr>
          <w:p>
            <w:pPr>
              <w:spacing w:before="0" w:after="0" w:line="264" w:lineRule="auto"/>
            </w:pPr>
            <w:r>
              <w:rPr>
                <w:rFonts w:ascii="Arial" w:hAnsi="Arial" w:cs="Arial" w:eastAsia="Arial"/>
                <w:b/>
                <w:bCs/>
                <w:color w:val="FFFFFF"/>
                <w:sz w:val="17"/>
                <w:szCs w:val="17"/>
              </w:rPr>
              <w:t>ONE YEAR UP TO 30 SEPTEMBER 2022**</w:t>
            </w:r>
          </w:p>
        </w:tc>
        <w:tc>
          <w:tcPr>
            <w:tcW w:type="dxa" w:w="2494"/>
            <w:shd w:val="clear" w:color="auto" w:fill="12284B"/>
          </w:tcPr>
          <w:p>
            <w:pPr>
              <w:spacing w:before="0" w:after="0" w:line="264" w:lineRule="auto"/>
            </w:pPr>
            <w:r>
              <w:rPr>
                <w:rFonts w:ascii="Arial" w:hAnsi="Arial" w:cs="Arial" w:eastAsia="Arial"/>
                <w:b/>
                <w:bCs/>
                <w:color w:val="FFFFFF"/>
                <w:sz w:val="17"/>
                <w:szCs w:val="17"/>
              </w:rPr>
              <w:t>ONE YEAR***</w:t>
            </w:r>
          </w:p>
        </w:tc>
      </w:tr>
      <w:tr>
        <w:tc>
          <w:tcPr>
            <w:tcW w:type="dxa" w:w="2494"/>
          </w:tcPr>
          <w:p>
            <w:pPr>
              <w:spacing w:before="0" w:after="0" w:line="264" w:lineRule="auto"/>
            </w:pPr>
            <w:r>
              <w:rPr>
                <w:rFonts w:ascii="Arial" w:hAnsi="Arial" w:cs="Arial" w:eastAsia="Arial"/>
                <w:color w:val="0E1E3A"/>
                <w:sz w:val="17"/>
                <w:szCs w:val="17"/>
              </w:rPr>
              <w:t>NAV/UNIT PERFORMANCE</w:t>
            </w:r>
          </w:p>
        </w:tc>
        <w:tc>
          <w:tcPr>
            <w:tcW w:type="dxa" w:w="2494"/>
          </w:tcPr>
          <w:p>
            <w:pPr>
              <w:spacing w:before="0" w:after="0" w:line="264" w:lineRule="auto"/>
            </w:pPr>
            <w:r>
              <w:rPr>
                <w:rFonts w:ascii="Arial" w:hAnsi="Arial" w:cs="Arial" w:eastAsia="Arial"/>
                <w:color w:val="0E1E3A"/>
                <w:sz w:val="17"/>
                <w:szCs w:val="17"/>
              </w:rPr>
              <w:t>0.33%</w:t>
            </w:r>
          </w:p>
        </w:tc>
        <w:tc>
          <w:tcPr>
            <w:tcW w:type="dxa" w:w="2494"/>
          </w:tcPr>
          <w:p>
            <w:pPr>
              <w:spacing w:before="0" w:after="0" w:line="264" w:lineRule="auto"/>
            </w:pPr>
            <w:r>
              <w:rPr>
                <w:rFonts w:ascii="Arial" w:hAnsi="Arial" w:cs="Arial" w:eastAsia="Arial"/>
                <w:color w:val="0E1E3A"/>
                <w:sz w:val="17"/>
                <w:szCs w:val="17"/>
              </w:rPr>
              <w:t>0.40%**</w:t>
            </w:r>
          </w:p>
        </w:tc>
        <w:tc>
          <w:tcPr>
            <w:tcW w:type="dxa" w:w="2494"/>
          </w:tcPr>
          <w:p>
            <w:pPr>
              <w:spacing w:before="0" w:after="0" w:line="264" w:lineRule="auto"/>
            </w:pPr>
            <w:r>
              <w:rPr>
                <w:rFonts w:ascii="Arial" w:hAnsi="Arial" w:cs="Arial" w:eastAsia="Arial"/>
                <w:color w:val="0E1E3A"/>
                <w:sz w:val="17"/>
                <w:szCs w:val="17"/>
              </w:rPr>
              <w:t>1.83%***</w:t>
            </w:r>
          </w:p>
        </w:tc>
      </w:tr>
      <w:tr>
        <w:tc>
          <w:tcPr>
            <w:tcW w:type="dxa" w:w="2494"/>
          </w:tcPr>
          <w:p>
            <w:pPr>
              <w:spacing w:before="0" w:after="0" w:line="264" w:lineRule="auto"/>
            </w:pPr>
            <w:r>
              <w:rPr>
                <w:rFonts w:ascii="Arial" w:hAnsi="Arial" w:cs="Arial" w:eastAsia="Arial"/>
                <w:color w:val="0E1E3A"/>
                <w:sz w:val="17"/>
                <w:szCs w:val="17"/>
              </w:rPr>
              <w:t>BENCHMARK PERFORMANCE</w:t>
            </w:r>
          </w:p>
        </w:tc>
        <w:tc>
          <w:tcPr>
            <w:tcW w:type="dxa" w:w="2494"/>
          </w:tcPr>
          <w:p>
            <w:pPr>
              <w:spacing w:before="0" w:after="0" w:line="264" w:lineRule="auto"/>
            </w:pPr>
            <w:r>
              <w:rPr>
                <w:rFonts w:ascii="Arial" w:hAnsi="Arial" w:cs="Arial" w:eastAsia="Arial"/>
                <w:color w:val="0E1E3A"/>
                <w:sz w:val="17"/>
                <w:szCs w:val="17"/>
              </w:rPr>
              <w:t>1.76%</w:t>
            </w:r>
          </w:p>
        </w:tc>
        <w:tc>
          <w:tcPr>
            <w:tcW w:type="dxa" w:w="2494"/>
          </w:tcPr>
          <w:p>
            <w:pPr>
              <w:spacing w:before="0" w:after="0" w:line="264" w:lineRule="auto"/>
            </w:pPr>
            <w:r>
              <w:rPr>
                <w:rFonts w:ascii="Arial" w:hAnsi="Arial" w:cs="Arial" w:eastAsia="Arial"/>
                <w:color w:val="0E1E3A"/>
                <w:sz w:val="17"/>
                <w:szCs w:val="17"/>
              </w:rPr>
              <w:t>4.25%</w:t>
            </w:r>
          </w:p>
        </w:tc>
        <w:tc>
          <w:tcPr>
            <w:tcW w:type="dxa" w:w="2494"/>
          </w:tcPr>
          <w:p>
            <w:pPr>
              <w:spacing w:before="0" w:after="0" w:line="264" w:lineRule="auto"/>
            </w:pPr>
            <w:r>
              <w:rPr>
                <w:rFonts w:ascii="Arial" w:hAnsi="Arial" w:cs="Arial" w:eastAsia="Arial"/>
                <w:color w:val="0E1E3A"/>
                <w:sz w:val="17"/>
                <w:szCs w:val="17"/>
              </w:rPr>
              <w:t>5.15%</w:t>
            </w:r>
          </w:p>
        </w:tc>
      </w:tr>
      <w:tr>
        <w:tc>
          <w:tcPr>
            <w:tcW w:type="dxa" w:w="2494"/>
          </w:tcPr>
          <w:p>
            <w:pPr>
              <w:spacing w:before="0" w:after="0" w:line="264" w:lineRule="auto"/>
            </w:pPr>
            <w:r>
              <w:rPr>
                <w:rFonts w:ascii="Arial" w:hAnsi="Arial" w:cs="Arial" w:eastAsia="Arial"/>
                <w:color w:val="0E1E3A"/>
                <w:sz w:val="17"/>
                <w:szCs w:val="17"/>
              </w:rPr>
              <w:t>PERFORMANCE SPREAD</w:t>
            </w:r>
          </w:p>
        </w:tc>
        <w:tc>
          <w:tcPr>
            <w:tcW w:type="dxa" w:w="2494"/>
          </w:tcPr>
          <w:p>
            <w:pPr>
              <w:spacing w:before="0" w:after="0" w:line="264" w:lineRule="auto"/>
            </w:pPr>
            <w:r>
              <w:rPr>
                <w:rFonts w:ascii="Arial" w:hAnsi="Arial" w:cs="Arial" w:eastAsia="Arial"/>
                <w:color w:val="0E1E3A"/>
                <w:sz w:val="17"/>
                <w:szCs w:val="17"/>
              </w:rPr>
              <w:t>-1.43%</w:t>
            </w:r>
          </w:p>
        </w:tc>
        <w:tc>
          <w:tcPr>
            <w:tcW w:type="dxa" w:w="2494"/>
          </w:tcPr>
          <w:p>
            <w:pPr>
              <w:spacing w:before="0" w:after="0" w:line="264" w:lineRule="auto"/>
            </w:pPr>
            <w:r>
              <w:rPr>
                <w:rFonts w:ascii="Arial" w:hAnsi="Arial" w:cs="Arial" w:eastAsia="Arial"/>
                <w:color w:val="0E1E3A"/>
                <w:sz w:val="17"/>
                <w:szCs w:val="17"/>
              </w:rPr>
              <w:t>-3.85%</w:t>
            </w:r>
          </w:p>
        </w:tc>
        <w:tc>
          <w:tcPr>
            <w:tcW w:type="dxa" w:w="2494"/>
          </w:tcPr>
          <w:p>
            <w:pPr>
              <w:spacing w:before="0" w:after="0" w:line="264" w:lineRule="auto"/>
            </w:pPr>
            <w:r>
              <w:rPr>
                <w:rFonts w:ascii="Arial" w:hAnsi="Arial" w:cs="Arial" w:eastAsia="Arial"/>
                <w:color w:val="0E1E3A"/>
                <w:sz w:val="17"/>
                <w:szCs w:val="17"/>
              </w:rPr>
              <w:t>-3.32%</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July 2022 to 30 September 2022, including cash distributions of 2.6%.</w:t>
      </w:r>
      <w:r>
        <w:br/>
      </w:r>
      <w:r>
        <w:rPr>
          <w:rFonts w:ascii="Arial" w:hAnsi="Arial" w:cs="Arial" w:eastAsia="Arial"/>
          <w:color w:val="5A6478"/>
          <w:sz w:val="17"/>
          <w:szCs w:val="17"/>
        </w:rPr>
        <w:t>** For the period from 1 January 2022 to 30 September 2022, including cash distributions of 5.1%.</w:t>
      </w:r>
      <w:r>
        <w:br/>
      </w:r>
      <w:r>
        <w:rPr>
          <w:rFonts w:ascii="Arial" w:hAnsi="Arial" w:cs="Arial" w:eastAsia="Arial"/>
          <w:color w:val="5A6478"/>
          <w:sz w:val="17"/>
          <w:szCs w:val="17"/>
        </w:rPr>
        <w:t>** For the period from 1 October 2021 to 30 September 2022, including cash distributions of 5.1% (Unit Price as at 30 September 2021 = SAR 10.1022).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2"/>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2494"/>
            <w:shd w:val="clear" w:color="auto" w:fill="12284B"/>
          </w:tcPr>
          <w:p>
            <w:pPr>
              <w:spacing w:before="0" w:after="0" w:line="264" w:lineRule="auto"/>
            </w:pPr>
            <w:r>
              <w:rPr>
                <w:rFonts w:ascii="Arial" w:hAnsi="Arial" w:cs="Arial" w:eastAsia="Arial"/>
                <w:b/>
                <w:bCs/>
                <w:color w:val="FFFFFF"/>
                <w:sz w:val="17"/>
                <w:szCs w:val="17"/>
              </w:rPr>
              <w:t>3 MONTHS1</w:t>
            </w:r>
          </w:p>
        </w:tc>
        <w:tc>
          <w:tcPr>
            <w:tcW w:type="dxa" w:w="2494"/>
            <w:shd w:val="clear" w:color="auto" w:fill="12284B"/>
          </w:tcPr>
          <w:p>
            <w:pPr>
              <w:spacing w:before="0" w:after="0" w:line="264" w:lineRule="auto"/>
            </w:pPr>
            <w:r>
              <w:rPr>
                <w:rFonts w:ascii="Arial" w:hAnsi="Arial" w:cs="Arial" w:eastAsia="Arial"/>
                <w:b/>
                <w:bCs/>
                <w:color w:val="FFFFFF"/>
                <w:sz w:val="17"/>
                <w:szCs w:val="17"/>
              </w:rPr>
              <w:t>ONE YEAR UP TO 30 SEPTEMBER 20222</w:t>
            </w:r>
          </w:p>
        </w:tc>
        <w:tc>
          <w:tcPr>
            <w:tcW w:type="dxa" w:w="2494"/>
            <w:shd w:val="clear" w:color="auto" w:fill="12284B"/>
          </w:tcPr>
          <w:p>
            <w:pPr>
              <w:spacing w:before="0" w:after="0" w:line="264" w:lineRule="auto"/>
            </w:pPr>
            <w:r>
              <w:rPr>
                <w:rFonts w:ascii="Arial" w:hAnsi="Arial" w:cs="Arial" w:eastAsia="Arial"/>
                <w:b/>
                <w:bCs/>
                <w:color w:val="FFFFFF"/>
                <w:sz w:val="17"/>
                <w:szCs w:val="17"/>
              </w:rPr>
              <w:t>ONE YEAR</w:t>
            </w:r>
          </w:p>
        </w:tc>
      </w:tr>
      <w:tr>
        <w:tc>
          <w:tcPr>
            <w:tcW w:type="dxa" w:w="2494"/>
          </w:tcPr>
          <w:p>
            <w:pPr>
              <w:spacing w:before="0" w:after="0" w:line="264" w:lineRule="auto"/>
            </w:pPr>
            <w:r>
              <w:rPr>
                <w:rFonts w:ascii="Arial" w:hAnsi="Arial" w:cs="Arial" w:eastAsia="Arial"/>
                <w:color w:val="0E1E3A"/>
                <w:sz w:val="17"/>
                <w:szCs w:val="17"/>
              </w:rPr>
              <w:t>STANDARD DEVIATION3</w:t>
            </w:r>
          </w:p>
        </w:tc>
        <w:tc>
          <w:tcPr>
            <w:tcW w:type="dxa" w:w="2494"/>
          </w:tcPr>
          <w:p>
            <w:pPr>
              <w:spacing w:before="0" w:after="0" w:line="264" w:lineRule="auto"/>
            </w:pPr>
            <w:r>
              <w:rPr>
                <w:rFonts w:ascii="Arial" w:hAnsi="Arial" w:cs="Arial" w:eastAsia="Arial"/>
                <w:color w:val="0E1E3A"/>
                <w:sz w:val="17"/>
                <w:szCs w:val="17"/>
              </w:rPr>
              <w:t>11.57</w:t>
            </w:r>
          </w:p>
        </w:tc>
        <w:tc>
          <w:tcPr>
            <w:tcW w:type="dxa" w:w="2494"/>
          </w:tcPr>
          <w:p>
            <w:pPr>
              <w:spacing w:before="0" w:after="0" w:line="264" w:lineRule="auto"/>
            </w:pPr>
            <w:r>
              <w:rPr>
                <w:rFonts w:ascii="Arial" w:hAnsi="Arial" w:cs="Arial" w:eastAsia="Arial"/>
                <w:color w:val="0E1E3A"/>
                <w:sz w:val="17"/>
                <w:szCs w:val="17"/>
              </w:rPr>
              <w:t>10.50</w:t>
            </w:r>
          </w:p>
        </w:tc>
        <w:tc>
          <w:tcPr>
            <w:tcW w:type="dxa" w:w="2494"/>
          </w:tcPr>
          <w:p>
            <w:pPr>
              <w:spacing w:before="0" w:after="0" w:line="264" w:lineRule="auto"/>
            </w:pPr>
            <w:r>
              <w:rPr>
                <w:rFonts w:ascii="Arial" w:hAnsi="Arial" w:cs="Arial" w:eastAsia="Arial"/>
                <w:color w:val="0E1E3A"/>
                <w:sz w:val="17"/>
                <w:szCs w:val="17"/>
              </w:rPr>
              <w:t>9.57</w:t>
            </w:r>
          </w:p>
        </w:tc>
      </w:tr>
      <w:tr>
        <w:tc>
          <w:tcPr>
            <w:tcW w:type="dxa" w:w="2494"/>
          </w:tcPr>
          <w:p>
            <w:pPr>
              <w:spacing w:before="0" w:after="0" w:line="264" w:lineRule="auto"/>
            </w:pPr>
            <w:r>
              <w:rPr>
                <w:rFonts w:ascii="Arial" w:hAnsi="Arial" w:cs="Arial" w:eastAsia="Arial"/>
                <w:color w:val="0E1E3A"/>
                <w:sz w:val="17"/>
                <w:szCs w:val="17"/>
              </w:rPr>
              <w:t>SHARPE RATIO4</w:t>
            </w:r>
          </w:p>
        </w:tc>
        <w:tc>
          <w:tcPr>
            <w:tcW w:type="dxa" w:w="2494"/>
          </w:tcPr>
          <w:p>
            <w:pPr>
              <w:spacing w:before="0" w:after="0" w:line="264" w:lineRule="auto"/>
            </w:pPr>
            <w:r>
              <w:rPr>
                <w:rFonts w:ascii="Arial" w:hAnsi="Arial" w:cs="Arial" w:eastAsia="Arial"/>
                <w:color w:val="0E1E3A"/>
                <w:sz w:val="17"/>
                <w:szCs w:val="17"/>
              </w:rPr>
              <w:t>0.59</w:t>
            </w:r>
          </w:p>
        </w:tc>
        <w:tc>
          <w:tcPr>
            <w:tcW w:type="dxa" w:w="2494"/>
          </w:tcPr>
          <w:p>
            <w:pPr>
              <w:spacing w:before="0" w:after="0" w:line="264" w:lineRule="auto"/>
            </w:pPr>
            <w:r>
              <w:rPr>
                <w:rFonts w:ascii="Arial" w:hAnsi="Arial" w:cs="Arial" w:eastAsia="Arial"/>
                <w:color w:val="0E1E3A"/>
                <w:sz w:val="17"/>
                <w:szCs w:val="17"/>
              </w:rPr>
              <w:t>-1.72</w:t>
            </w:r>
          </w:p>
        </w:tc>
        <w:tc>
          <w:tcPr>
            <w:tcW w:type="dxa" w:w="2494"/>
          </w:tcPr>
          <w:p>
            <w:pPr>
              <w:spacing w:before="0" w:after="0" w:line="264" w:lineRule="auto"/>
            </w:pPr>
            <w:r>
              <w:rPr>
                <w:rFonts w:ascii="Arial" w:hAnsi="Arial" w:cs="Arial" w:eastAsia="Arial"/>
                <w:color w:val="0E1E3A"/>
                <w:sz w:val="17"/>
                <w:szCs w:val="17"/>
              </w:rPr>
              <w:t>-1.81</w:t>
            </w:r>
          </w:p>
        </w:tc>
      </w:tr>
      <w:tr>
        <w:tc>
          <w:tcPr>
            <w:tcW w:type="dxa" w:w="2494"/>
          </w:tcPr>
          <w:p>
            <w:pPr>
              <w:spacing w:before="0" w:after="0" w:line="264" w:lineRule="auto"/>
            </w:pPr>
            <w:r>
              <w:rPr>
                <w:rFonts w:ascii="Arial" w:hAnsi="Arial" w:cs="Arial" w:eastAsia="Arial"/>
                <w:color w:val="0E1E3A"/>
                <w:sz w:val="17"/>
                <w:szCs w:val="17"/>
              </w:rPr>
              <w:t>TRACKING ERROR5</w:t>
            </w:r>
          </w:p>
        </w:tc>
        <w:tc>
          <w:tcPr>
            <w:tcW w:type="dxa" w:w="2494"/>
          </w:tcPr>
          <w:p>
            <w:pPr>
              <w:spacing w:before="0" w:after="0" w:line="264" w:lineRule="auto"/>
            </w:pPr>
            <w:r>
              <w:rPr>
                <w:rFonts w:ascii="Arial" w:hAnsi="Arial" w:cs="Arial" w:eastAsia="Arial"/>
                <w:color w:val="0E1E3A"/>
                <w:sz w:val="17"/>
                <w:szCs w:val="17"/>
              </w:rPr>
              <w:t>11.59</w:t>
            </w:r>
          </w:p>
        </w:tc>
        <w:tc>
          <w:tcPr>
            <w:tcW w:type="dxa" w:w="2494"/>
          </w:tcPr>
          <w:p>
            <w:pPr>
              <w:spacing w:before="0" w:after="0" w:line="264" w:lineRule="auto"/>
            </w:pPr>
            <w:r>
              <w:rPr>
                <w:rFonts w:ascii="Arial" w:hAnsi="Arial" w:cs="Arial" w:eastAsia="Arial"/>
                <w:color w:val="0E1E3A"/>
                <w:sz w:val="17"/>
                <w:szCs w:val="17"/>
              </w:rPr>
              <w:t>10.52</w:t>
            </w:r>
          </w:p>
        </w:tc>
        <w:tc>
          <w:tcPr>
            <w:tcW w:type="dxa" w:w="2494"/>
          </w:tcPr>
          <w:p>
            <w:pPr>
              <w:spacing w:before="0" w:after="0" w:line="264" w:lineRule="auto"/>
            </w:pPr>
            <w:r>
              <w:rPr>
                <w:rFonts w:ascii="Arial" w:hAnsi="Arial" w:cs="Arial" w:eastAsia="Arial"/>
                <w:color w:val="0E1E3A"/>
                <w:sz w:val="17"/>
                <w:szCs w:val="17"/>
              </w:rPr>
              <w:t>9.59</w:t>
            </w:r>
          </w:p>
        </w:tc>
      </w:tr>
      <w:tr>
        <w:tc>
          <w:tcPr>
            <w:tcW w:type="dxa" w:w="2494"/>
          </w:tcPr>
          <w:p>
            <w:pPr>
              <w:spacing w:before="0" w:after="0" w:line="264" w:lineRule="auto"/>
            </w:pPr>
            <w:r>
              <w:rPr>
                <w:rFonts w:ascii="Arial" w:hAnsi="Arial" w:cs="Arial" w:eastAsia="Arial"/>
                <w:color w:val="0E1E3A"/>
                <w:sz w:val="17"/>
                <w:szCs w:val="17"/>
              </w:rPr>
              <w:t>BETA6</w:t>
            </w:r>
          </w:p>
        </w:tc>
        <w:tc>
          <w:tcPr>
            <w:tcW w:type="dxa" w:w="2494"/>
          </w:tcPr>
          <w:p>
            <w:pPr>
              <w:spacing w:before="0" w:after="0" w:line="264" w:lineRule="auto"/>
            </w:pPr>
            <w:r>
              <w:rPr>
                <w:rFonts w:ascii="Arial" w:hAnsi="Arial" w:cs="Arial" w:eastAsia="Arial"/>
                <w:color w:val="0E1E3A"/>
                <w:sz w:val="17"/>
                <w:szCs w:val="17"/>
              </w:rPr>
              <w:t>(1.87)</w:t>
            </w:r>
          </w:p>
        </w:tc>
        <w:tc>
          <w:tcPr>
            <w:tcW w:type="dxa" w:w="2494"/>
          </w:tcPr>
          <w:p>
            <w:pPr>
              <w:spacing w:before="0" w:after="0" w:line="264" w:lineRule="auto"/>
            </w:pPr>
            <w:r>
              <w:rPr>
                <w:rFonts w:ascii="Arial" w:hAnsi="Arial" w:cs="Arial" w:eastAsia="Arial"/>
                <w:color w:val="0E1E3A"/>
                <w:sz w:val="17"/>
                <w:szCs w:val="17"/>
              </w:rPr>
              <w:t>(3.17)</w:t>
            </w:r>
          </w:p>
        </w:tc>
        <w:tc>
          <w:tcPr>
            <w:tcW w:type="dxa" w:w="2494"/>
          </w:tcPr>
          <w:p>
            <w:pPr>
              <w:spacing w:before="0" w:after="0" w:line="264" w:lineRule="auto"/>
            </w:pPr>
            <w:r>
              <w:rPr>
                <w:rFonts w:ascii="Arial" w:hAnsi="Arial" w:cs="Arial" w:eastAsia="Arial"/>
                <w:color w:val="0E1E3A"/>
                <w:sz w:val="17"/>
                <w:szCs w:val="17"/>
              </w:rPr>
              <w:t>(2.58)</w:t>
            </w:r>
          </w:p>
        </w:tc>
      </w:tr>
      <w:tr>
        <w:tc>
          <w:tcPr>
            <w:tcW w:type="dxa" w:w="2494"/>
          </w:tcPr>
          <w:p>
            <w:pPr>
              <w:spacing w:before="0" w:after="0" w:line="264" w:lineRule="auto"/>
            </w:pPr>
            <w:r>
              <w:rPr>
                <w:rFonts w:ascii="Arial" w:hAnsi="Arial" w:cs="Arial" w:eastAsia="Arial"/>
                <w:color w:val="0E1E3A"/>
                <w:sz w:val="17"/>
                <w:szCs w:val="17"/>
              </w:rPr>
              <w:t>ALPHA7</w:t>
            </w:r>
          </w:p>
        </w:tc>
        <w:tc>
          <w:tcPr>
            <w:tcW w:type="dxa" w:w="2494"/>
          </w:tcPr>
          <w:p>
            <w:pPr>
              <w:spacing w:before="0" w:after="0" w:line="264" w:lineRule="auto"/>
            </w:pPr>
            <w:r>
              <w:rPr>
                <w:rFonts w:ascii="Arial" w:hAnsi="Arial" w:cs="Arial" w:eastAsia="Arial"/>
                <w:color w:val="0E1E3A"/>
                <w:sz w:val="17"/>
                <w:szCs w:val="17"/>
              </w:rPr>
              <w:t>-0.02</w:t>
            </w:r>
          </w:p>
        </w:tc>
        <w:tc>
          <w:tcPr>
            <w:tcW w:type="dxa" w:w="2494"/>
          </w:tcPr>
          <w:p>
            <w:pPr>
              <w:spacing w:before="0" w:after="0" w:line="264" w:lineRule="auto"/>
            </w:pPr>
            <w:r>
              <w:rPr>
                <w:rFonts w:ascii="Arial" w:hAnsi="Arial" w:cs="Arial" w:eastAsia="Arial"/>
                <w:color w:val="0E1E3A"/>
                <w:sz w:val="17"/>
                <w:szCs w:val="17"/>
              </w:rPr>
              <w:t>-0.23</w:t>
            </w:r>
          </w:p>
        </w:tc>
        <w:tc>
          <w:tcPr>
            <w:tcW w:type="dxa" w:w="2494"/>
          </w:tcPr>
          <w:p>
            <w:pPr>
              <w:spacing w:before="0" w:after="0" w:line="264" w:lineRule="auto"/>
            </w:pPr>
            <w:r>
              <w:rPr>
                <w:rFonts w:ascii="Arial" w:hAnsi="Arial" w:cs="Arial" w:eastAsia="Arial"/>
                <w:color w:val="0E1E3A"/>
                <w:sz w:val="17"/>
                <w:szCs w:val="17"/>
              </w:rPr>
              <w:t>-0.22</w:t>
            </w:r>
          </w:p>
        </w:tc>
      </w:tr>
      <w:tr>
        <w:tc>
          <w:tcPr>
            <w:tcW w:type="dxa" w:w="2494"/>
          </w:tcPr>
          <w:p>
            <w:pPr>
              <w:spacing w:before="0" w:after="0" w:line="264" w:lineRule="auto"/>
            </w:pPr>
            <w:r>
              <w:rPr>
                <w:rFonts w:ascii="Arial" w:hAnsi="Arial" w:cs="Arial" w:eastAsia="Arial"/>
                <w:color w:val="0E1E3A"/>
                <w:sz w:val="17"/>
                <w:szCs w:val="17"/>
              </w:rPr>
              <w:t>INFORMATION RATIO8</w:t>
            </w:r>
          </w:p>
        </w:tc>
        <w:tc>
          <w:tcPr>
            <w:tcW w:type="dxa" w:w="2494"/>
          </w:tcPr>
          <w:p>
            <w:pPr>
              <w:spacing w:before="0" w:after="0" w:line="264" w:lineRule="auto"/>
            </w:pPr>
            <w:r>
              <w:rPr>
                <w:rFonts w:ascii="Arial" w:hAnsi="Arial" w:cs="Arial" w:eastAsia="Arial"/>
                <w:color w:val="0E1E3A"/>
                <w:sz w:val="17"/>
                <w:szCs w:val="17"/>
              </w:rPr>
              <w:t>0.16</w:t>
            </w:r>
          </w:p>
        </w:tc>
        <w:tc>
          <w:tcPr>
            <w:tcW w:type="dxa" w:w="2494"/>
          </w:tcPr>
          <w:p>
            <w:pPr>
              <w:spacing w:before="0" w:after="0" w:line="264" w:lineRule="auto"/>
            </w:pPr>
            <w:r>
              <w:rPr>
                <w:rFonts w:ascii="Arial" w:hAnsi="Arial" w:cs="Arial" w:eastAsia="Arial"/>
                <w:color w:val="0E1E3A"/>
                <w:sz w:val="17"/>
                <w:szCs w:val="17"/>
              </w:rPr>
              <w:t>-2.23</w:t>
            </w:r>
          </w:p>
        </w:tc>
        <w:tc>
          <w:tcPr>
            <w:tcW w:type="dxa" w:w="2494"/>
          </w:tcPr>
          <w:p>
            <w:pPr>
              <w:spacing w:before="0" w:after="0" w:line="264" w:lineRule="auto"/>
            </w:pPr>
            <w:r>
              <w:rPr>
                <w:rFonts w:ascii="Arial" w:hAnsi="Arial" w:cs="Arial" w:eastAsia="Arial"/>
                <w:color w:val="0E1E3A"/>
                <w:sz w:val="17"/>
                <w:szCs w:val="17"/>
              </w:rPr>
              <w:t>-2.34</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1 July 2022 to 30 September 2022.</w:t>
      </w:r>
      <w:r>
        <w:br/>
      </w:r>
      <w:r>
        <w:rPr>
          <w:rFonts w:ascii="Arial" w:hAnsi="Arial" w:cs="Arial" w:eastAsia="Arial"/>
          <w:color w:val="5A6478"/>
          <w:sz w:val="17"/>
          <w:szCs w:val="17"/>
        </w:rPr>
        <w:t>2. For the period from 1 January 2022 to 30 September 2022.</w:t>
      </w:r>
      <w:r>
        <w:br/>
      </w:r>
      <w:r>
        <w:rPr>
          <w:rFonts w:ascii="Arial" w:hAnsi="Arial" w:cs="Arial" w:eastAsia="Arial"/>
          <w:color w:val="5A6478"/>
          <w:sz w:val="17"/>
          <w:szCs w:val="17"/>
        </w:rPr>
        <w:t>3. For the period from 1 October 2021 to 30 September 2022.</w:t>
      </w:r>
      <w:r>
        <w:br/>
      </w:r>
      <w:r>
        <w:rPr>
          <w:rFonts w:ascii="Arial" w:hAnsi="Arial" w:cs="Arial" w:eastAsia="Arial"/>
          <w:color w:val="5A6478"/>
          <w:sz w:val="17"/>
          <w:szCs w:val="17"/>
        </w:rPr>
        <w:t>4.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5. Sharpe Ratio is a risk-adjusted performance measure. It is calculated as the difference as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6.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7.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8. Alpha measures any excess return achieved by the Fund compared to the performance of the index.</w:t>
      </w:r>
      <w:r>
        <w:br/>
      </w:r>
      <w:r>
        <w:rPr>
          <w:rFonts w:ascii="Arial" w:hAnsi="Arial" w:cs="Arial" w:eastAsia="Arial"/>
          <w:color w:val="5A6478"/>
          <w:sz w:val="17"/>
          <w:szCs w:val="17"/>
        </w:rPr>
        <w:t>9. Information Ratio is a risk-adjusted performance measure. It is calculated as the active return of the Fund Manager, divided by its tracking error. The higher the Information ratio, the higher the Fund Manager ability 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3"/>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 FUNDAMENTAL CHANGES AFFECTING THE PERFORMANCE OF THE FUND</w:t>
      </w:r>
    </w:p>
    <w:p>
      <w:pPr>
        <w:spacing w:before="0" w:after="80" w:line="312" w:lineRule="auto"/>
      </w:pPr>
      <w:r>
        <w:rPr>
          <w:rFonts w:ascii="Arial" w:hAnsi="Arial" w:cs="Arial" w:eastAsia="Arial"/>
          <w:color w:val="0E1E3A"/>
          <w:sz w:val="20"/>
          <w:szCs w:val="20"/>
        </w:rPr>
        <w:t>There were no fundamental or non-fundamental developments or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4"/>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During Q3 of 2022, higher inflation in global economies has led to the slowdown of growth. However, strong labor market information has somewhat offset the effect on the leasing sector. As a result, the Monthly Leasing and Finance Index (MLFI-25) which reports the economic activity from 25 companies representing a cross section of the US$ 900 billion US leasing sector, has shown that their overall new business volume for July 2021 was US$ 10.1 billion, up 2% annually compared to the overall new business volume for July 2021. The cumulative new business volume was up 5% year-to-date, compared to 2021.</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Meanwhile, the Monthly Confidence Index for the Equipment Finance Industry released by the Equipment Leasing and Finance Foundation (MCI-EFI) has improved to 50 in August 2022 from 46.1 in July 2022 in spite of higher interest rates, continued supply chain disruptions and higher inflation, the leasing sector continues to provide value to companies who rely on it in the procurement of capital equipment necessary for their operations.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ELFA continues to note strong interest from business and agricultural companies and producers, while they look to expand their operations and secure low rates in the long term. Demand exceeds supply as the industry continues to face delays in equipment delivery due to persisting supply chain challenges.</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the latest estimate released by the UNCTAD, the value of world trade increased by approximately 15% to US$ 7.7 trillion in the first quarter of 2022. The most recent data for the second quarter of 2022 released by S&amp;P Global Market Intelligence points to the positive growth of exports and imports on an annualized basis in all of the top ten countries tracked by UNCTAD.</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Globally, banks are ratcheting up funds for the global commodities, according to an article recently published by Bloomberg, considering that trade finance is the lifeblood of the commodities industry, and with prices surging amid the war in Ukraine, and with the supply routes disrupted by the conflict, traders are clamoring for additional funds to pay for shipments of grains, metals and fuels.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latest report by Trade Finance Global (TFG) focused on the viability of SME trade finance from a European outlook, pointing out that despite high inflation, record high energy prices and geopolitical uncertainty, demand for trade finance by SME’s is on the rise.</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Global Sukuk issuance slowed down in the first half of 2022 in spite of the strong activity of the issuers during the first quarter, amid high demand from foreign investors. Global Sukuk raised US$ 22 billion in the first half of 2022, down by 10% from US$ 33.2 billion in the first half of 2021.</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Moody’s Credit Ratings, global Sukuk issuance is expected to decrease from US$ 181 billion in 2021 to between US$ 160 billion and US$ 170 billion in 2022. According to Refinitiv, global Sukuk issuance is expected to slightly decrease to US$ 185 billion in 2022. Subsequently, issuance is expected to grow by 6.4% per annum over the next five years, to reach US$ 257 billion in 2027.</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terms of performance, the huge losses in the global bonds market in 2022 will mark the worst year on record since decades. The Sukuk market has declined significantly year-to-date, with the Dow Jones Sukuk Index losing 9.63% year-to-date.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45"/>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 *</w:t>
      </w:r>
    </w:p>
    <w:p>
      <w:pPr>
        <w:spacing w:before="0" w:after="80" w:line="240" w:lineRule="auto"/>
        <w:jc w:val="center"/>
      </w:pPr>
      <w:r>
        <w:drawing>
          <wp:inline xmlns:a="http://schemas.openxmlformats.org/drawingml/2006/main" xmlns:pic="http://schemas.openxmlformats.org/drawingml/2006/picture">
            <wp:extent cx="6336000" cy="2730378"/>
            <wp:docPr id="24" name="Picture 9046"/>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730378"/>
                    </a:xfrm>
                    <a:prstGeom prst="rect"/>
                  </pic:spPr>
                </pic:pic>
              </a:graphicData>
            </a:graphic>
          </wp:inline>
        </w:drawing>
      </w:r>
    </w:p>
    <w:p>
      <w:pPr>
        <w:spacing w:before="0" w:after="80" w:line="312" w:lineRule="auto"/>
      </w:pPr>
      <w:r>
        <w:rPr>
          <w:rFonts w:ascii="Arial" w:hAnsi="Arial" w:cs="Arial" w:eastAsia="Arial"/>
          <w:color w:val="5A6478"/>
          <w:sz w:val="17"/>
          <w:szCs w:val="17"/>
        </w:rPr>
        <w:t>* Prices as at 30 September 2022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47"/>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48"/>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Q3 2022</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