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5"/>
            <wp:cNvGraphicFramePr/>
            <a:graphic>
              <a:graphicData uri="http://schemas.openxmlformats.org/drawingml/2006/picture">
                <pic:pic>
                  <pic:nvPicPr>
                    <pic:cNvPr id="9025" name="banner9025.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6"/>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9.7595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495,804,675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 *</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31,297,923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‎6.31%‎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‎6.78%‎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‎0.36%‎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2023م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29"/>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3,6 سنوات.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495,804,675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461,445,661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‎0.85%‎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‎0.99%‎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‎1.05%‎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4,885,658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2023م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465,927,902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2"/>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104,106,379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170,924,164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29,891,303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123,872,809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67,010,020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1" name="Picture 9035"/>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2022م</w:t>
            </w:r>
          </w:p>
        </w:tc>
        <w:tc>
          <w:tcPr>
            <w:tcW w:type="dxa" w:w="6860"/>
          </w:tcPr>
          <w:p>
            <w:pPr>
              <w:bidi w:val="1"/>
              <w:spacing w:before="0" w:after="0" w:line="276" w:lineRule="auto"/>
            </w:pPr>
            <w:r>
              <w:rPr>
                <w:rFonts w:ascii="Arial" w:hAnsi="Arial" w:cs="Arial" w:eastAsia="Arial"/>
                <w:b/>
                <w:bCs/>
                <w:color w:val="0E1E3A"/>
                <w:sz w:val="18"/>
                <w:szCs w:val="18"/>
                <w:rtl/>
              </w:rPr>
              <w:t>281,324,747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2023م</w:t>
            </w:r>
          </w:p>
        </w:tc>
        <w:tc>
          <w:tcPr>
            <w:tcW w:type="dxa" w:w="6860"/>
          </w:tcPr>
          <w:p>
            <w:pPr>
              <w:bidi w:val="1"/>
              <w:spacing w:before="0" w:after="0" w:line="276" w:lineRule="auto"/>
            </w:pPr>
            <w:r>
              <w:rPr>
                <w:rFonts w:ascii="Arial" w:hAnsi="Arial" w:cs="Arial" w:eastAsia="Arial"/>
                <w:b/>
                <w:bCs/>
                <w:color w:val="0E1E3A"/>
                <w:sz w:val="18"/>
                <w:szCs w:val="18"/>
                <w:rtl/>
              </w:rPr>
              <w:t>297,873,261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2023م</w:t>
            </w:r>
          </w:p>
        </w:tc>
        <w:tc>
          <w:tcPr>
            <w:tcW w:type="dxa" w:w="6860"/>
          </w:tcPr>
          <w:p>
            <w:pPr>
              <w:bidi w:val="1"/>
              <w:spacing w:before="0" w:after="0" w:line="276" w:lineRule="auto"/>
            </w:pPr>
            <w:r>
              <w:rPr>
                <w:rFonts w:ascii="Arial" w:hAnsi="Arial" w:cs="Arial" w:eastAsia="Arial"/>
                <w:b/>
                <w:bCs/>
                <w:color w:val="0E1E3A"/>
                <w:sz w:val="18"/>
                <w:szCs w:val="18"/>
                <w:rtl/>
              </w:rPr>
              <w:t>329,079,031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2023م</w:t>
            </w:r>
          </w:p>
        </w:tc>
        <w:tc>
          <w:tcPr>
            <w:tcW w:type="dxa" w:w="6860"/>
          </w:tcPr>
          <w:p>
            <w:pPr>
              <w:bidi w:val="1"/>
              <w:spacing w:before="0" w:after="0" w:line="276" w:lineRule="auto"/>
            </w:pPr>
            <w:r>
              <w:rPr>
                <w:rFonts w:ascii="Arial" w:hAnsi="Arial" w:cs="Arial" w:eastAsia="Arial"/>
                <w:b/>
                <w:bCs/>
                <w:color w:val="0E1E3A"/>
                <w:sz w:val="18"/>
                <w:szCs w:val="18"/>
                <w:rtl/>
              </w:rPr>
              <w:t>329,551,846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الثالث (30 سبتمبر 2023م)</w:t>
            </w:r>
          </w:p>
        </w:tc>
        <w:tc>
          <w:tcPr>
            <w:tcW w:type="dxa" w:w="6860"/>
          </w:tcPr>
          <w:p>
            <w:pPr>
              <w:bidi w:val="1"/>
              <w:spacing w:before="0" w:after="0" w:line="276" w:lineRule="auto"/>
            </w:pPr>
            <w:r>
              <w:rPr>
                <w:rFonts w:ascii="Arial" w:hAnsi="Arial" w:cs="Arial" w:eastAsia="Arial"/>
                <w:b/>
                <w:bCs/>
                <w:color w:val="0E1E3A"/>
                <w:sz w:val="18"/>
                <w:szCs w:val="18"/>
                <w:rtl/>
              </w:rPr>
              <w:t>6.97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30 يونيو 2023م إلى 30 سبتمبر 2023م)*</w:t>
            </w:r>
          </w:p>
        </w:tc>
        <w:tc>
          <w:tcPr>
            <w:tcW w:type="dxa" w:w="6860"/>
          </w:tcPr>
          <w:p>
            <w:pPr>
              <w:bidi w:val="1"/>
              <w:spacing w:before="0" w:after="0" w:line="276" w:lineRule="auto"/>
            </w:pPr>
            <w:r>
              <w:rPr>
                <w:rFonts w:ascii="Arial" w:hAnsi="Arial" w:cs="Arial" w:eastAsia="Arial"/>
                <w:b/>
                <w:bCs/>
                <w:color w:val="0E1E3A"/>
                <w:sz w:val="18"/>
                <w:szCs w:val="18"/>
              </w:rPr>
              <w:t>‎0.14%‎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الثاني 2023م)</w:t>
            </w:r>
          </w:p>
        </w:tc>
        <w:tc>
          <w:tcPr>
            <w:tcW w:type="dxa" w:w="6860"/>
          </w:tcPr>
          <w:p>
            <w:pPr>
              <w:bidi w:val="1"/>
              <w:spacing w:before="0" w:after="0" w:line="276" w:lineRule="auto"/>
            </w:pPr>
            <w:r>
              <w:rPr>
                <w:rFonts w:ascii="Arial" w:hAnsi="Arial" w:cs="Arial" w:eastAsia="Arial"/>
                <w:b/>
                <w:bCs/>
                <w:color w:val="0E1E3A"/>
                <w:sz w:val="18"/>
                <w:szCs w:val="18"/>
              </w:rPr>
              <w:t>‎-30.30%‎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7,79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5,91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30 يونيو 2023م = 6.96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8"/>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من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13,238,812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‎2,80%‎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‎4.02%‎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9,171,701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(30 سبتمبر 2023م)</w:t>
            </w:r>
          </w:p>
        </w:tc>
        <w:tc>
          <w:tcPr>
            <w:tcW w:type="dxa" w:w="6860"/>
          </w:tcPr>
          <w:p>
            <w:pPr>
              <w:bidi w:val="1"/>
              <w:spacing w:before="0" w:after="0" w:line="276" w:lineRule="auto"/>
            </w:pPr>
            <w:r>
              <w:rPr>
                <w:rFonts w:ascii="Arial" w:hAnsi="Arial" w:cs="Arial" w:eastAsia="Arial"/>
                <w:b/>
                <w:bCs/>
                <w:color w:val="0E1E3A"/>
                <w:sz w:val="18"/>
                <w:szCs w:val="18"/>
              </w:rPr>
              <w:t>‎2.78%‎</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يوليو 2023م إلى 30 سبتمبر 2023م.</w:t>
      </w:r>
      <w:r>
        <w:br/>
      </w:r>
      <w:r>
        <w:rPr>
          <w:rFonts w:ascii="Arial" w:hAnsi="Arial" w:cs="Arial" w:eastAsia="Arial"/>
          <w:color w:val="5A6478"/>
          <w:sz w:val="17"/>
          <w:szCs w:val="17"/>
          <w:rtl/>
        </w:rPr>
        <w:t>** من 1 يناير 2023م إلى 30 يونيو 2023م.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فائدة التمويل المضمون لليلة واحدة (SOFR) لمدة 12 شهر زائد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‎0.14%‎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‎-30.30%‎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‎-17.63%‎</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 300 نقطة أساس إلى سعر فائدة التمويل المضمون لليلة واحدة لمدة 12 شهرا زائد 300 نقطة أساس.</w:t>
      </w:r>
      <w:r>
        <w:br/>
      </w:r>
      <w:r>
        <w:rPr>
          <w:rFonts w:ascii="Arial" w:hAnsi="Arial" w:cs="Arial" w:eastAsia="Arial"/>
          <w:color w:val="5A6478"/>
          <w:sz w:val="17"/>
          <w:szCs w:val="17"/>
          <w:rtl/>
        </w:rPr>
        <w:t>** سعر الوحدة كما في 30 يونيو 2023م = 6.96 ر.س.</w:t>
      </w:r>
      <w:r>
        <w:br/>
      </w:r>
      <w:r>
        <w:rPr>
          <w:rFonts w:ascii="Arial" w:hAnsi="Arial" w:cs="Arial" w:eastAsia="Arial"/>
          <w:color w:val="5A6478"/>
          <w:sz w:val="17"/>
          <w:szCs w:val="17"/>
          <w:rtl/>
        </w:rPr>
        <w:t>*** من تاريخ بدء الصندوق إلى نهاية الربع الثالث من العام 2023م.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ملاحظة: 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فائدة التمويل المضمون لليلة واحدة (SOFR) لمدة 12 شهر زائد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1"/>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فائدة التمويل المضمون لليلة واحدة لمدة 12 شهر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9,9491</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9.7595</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‎-1.91%‎</w:t>
            </w:r>
          </w:p>
        </w:tc>
        <w:tc>
          <w:tcPr>
            <w:tcW w:type="dxa" w:w="3326"/>
          </w:tcPr>
          <w:p>
            <w:pPr>
              <w:bidi w:val="1"/>
              <w:spacing w:before="0" w:after="0" w:line="264" w:lineRule="auto"/>
            </w:pPr>
            <w:r>
              <w:rPr>
                <w:rFonts w:ascii="Arial" w:hAnsi="Arial" w:cs="Arial" w:eastAsia="Arial"/>
                <w:color w:val="0E1E3A"/>
                <w:sz w:val="17"/>
                <w:szCs w:val="17"/>
              </w:rPr>
              <w:t>‎2.07%‎</w:t>
            </w:r>
            <w:r>
              <w:rPr>
                <w:rFonts w:ascii="Arial" w:hAnsi="Arial" w:cs="Arial" w:eastAsia="Arial"/>
                <w:color w:val="0E1E3A"/>
                <w:sz w:val="17"/>
                <w:szCs w:val="17"/>
                <w:rtl/>
              </w:rPr>
              <w:t>****</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 300 نقطة أساس إلى سعر فائدة التمويل المضمون لليلة واحدة لمدة 12 شهرا زائد 300 نقطة أساس.</w:t>
      </w:r>
      <w:r>
        <w:br/>
      </w:r>
      <w:r>
        <w:rPr>
          <w:rFonts w:ascii="Arial" w:hAnsi="Arial" w:cs="Arial" w:eastAsia="Arial"/>
          <w:color w:val="5A6478"/>
          <w:sz w:val="17"/>
          <w:szCs w:val="17"/>
          <w:rtl/>
        </w:rPr>
        <w:t>** كما في تاريخ 30 يونيو 2023م.</w:t>
      </w:r>
      <w:r>
        <w:br/>
      </w:r>
      <w:r>
        <w:rPr>
          <w:rFonts w:ascii="Arial" w:hAnsi="Arial" w:cs="Arial" w:eastAsia="Arial"/>
          <w:color w:val="5A6478"/>
          <w:sz w:val="17"/>
          <w:szCs w:val="17"/>
          <w:rtl/>
        </w:rPr>
        <w:t>*** كما في تاريخ 30 سبتمبر 2023م.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‎8.39%‎</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‎2.07%‎</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3"/>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‎0.91%‎</w:t>
            </w:r>
          </w:p>
        </w:tc>
        <w:tc>
          <w:tcPr>
            <w:tcW w:type="dxa" w:w="1663"/>
          </w:tcPr>
          <w:p>
            <w:pPr>
              <w:bidi w:val="1"/>
              <w:spacing w:before="0" w:after="0" w:line="264" w:lineRule="auto"/>
            </w:pPr>
            <w:r>
              <w:rPr>
                <w:rFonts w:ascii="Arial" w:hAnsi="Arial" w:cs="Arial" w:eastAsia="Arial"/>
                <w:color w:val="0E1E3A"/>
                <w:sz w:val="17"/>
                <w:szCs w:val="17"/>
              </w:rPr>
              <w:t>‎3.83%‎</w:t>
            </w:r>
            <w:r>
              <w:rPr>
                <w:rFonts w:ascii="Arial" w:hAnsi="Arial" w:cs="Arial" w:eastAsia="Arial"/>
                <w:color w:val="0E1E3A"/>
                <w:sz w:val="17"/>
                <w:szCs w:val="17"/>
                <w:rtl/>
              </w:rPr>
              <w:t>%</w:t>
            </w:r>
          </w:p>
        </w:tc>
        <w:tc>
          <w:tcPr>
            <w:tcW w:type="dxa" w:w="1663"/>
          </w:tcPr>
          <w:p>
            <w:pPr>
              <w:bidi w:val="1"/>
              <w:spacing w:before="0" w:after="0" w:line="264" w:lineRule="auto"/>
            </w:pPr>
            <w:r>
              <w:rPr>
                <w:rFonts w:ascii="Arial" w:hAnsi="Arial" w:cs="Arial" w:eastAsia="Arial"/>
                <w:color w:val="0E1E3A"/>
                <w:sz w:val="17"/>
                <w:szCs w:val="17"/>
              </w:rPr>
              <w:t>‎5.64%‎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‎2.07%‎</w:t>
            </w:r>
          </w:p>
        </w:tc>
        <w:tc>
          <w:tcPr>
            <w:tcW w:type="dxa" w:w="1663"/>
          </w:tcPr>
          <w:p>
            <w:pPr>
              <w:bidi w:val="1"/>
              <w:spacing w:before="0" w:after="0" w:line="264" w:lineRule="auto"/>
            </w:pPr>
            <w:r>
              <w:rPr>
                <w:rFonts w:ascii="Arial" w:hAnsi="Arial" w:cs="Arial" w:eastAsia="Arial"/>
                <w:color w:val="0E1E3A"/>
                <w:sz w:val="17"/>
                <w:szCs w:val="17"/>
              </w:rPr>
              <w:t>‎6.20%‎</w:t>
            </w:r>
          </w:p>
        </w:tc>
        <w:tc>
          <w:tcPr>
            <w:tcW w:type="dxa" w:w="1663"/>
          </w:tcPr>
          <w:p>
            <w:pPr>
              <w:bidi w:val="1"/>
              <w:spacing w:before="0" w:after="0" w:line="264" w:lineRule="auto"/>
            </w:pPr>
            <w:r>
              <w:rPr>
                <w:rFonts w:ascii="Arial" w:hAnsi="Arial" w:cs="Arial" w:eastAsia="Arial"/>
                <w:color w:val="0E1E3A"/>
                <w:sz w:val="17"/>
                <w:szCs w:val="17"/>
              </w:rPr>
              <w:t>‎8.44%‎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‎-1.16%‎</w:t>
            </w:r>
          </w:p>
        </w:tc>
        <w:tc>
          <w:tcPr>
            <w:tcW w:type="dxa" w:w="1663"/>
          </w:tcPr>
          <w:p>
            <w:pPr>
              <w:bidi w:val="1"/>
              <w:spacing w:before="0" w:after="0" w:line="264" w:lineRule="auto"/>
            </w:pPr>
            <w:r>
              <w:rPr>
                <w:rFonts w:ascii="Arial" w:hAnsi="Arial" w:cs="Arial" w:eastAsia="Arial"/>
                <w:color w:val="0E1E3A"/>
                <w:sz w:val="17"/>
                <w:szCs w:val="17"/>
              </w:rPr>
              <w:t>‎-2.37%‎</w:t>
            </w:r>
          </w:p>
        </w:tc>
        <w:tc>
          <w:tcPr>
            <w:tcW w:type="dxa" w:w="1663"/>
          </w:tcPr>
          <w:p>
            <w:pPr>
              <w:bidi w:val="1"/>
              <w:spacing w:before="0" w:after="0" w:line="264" w:lineRule="auto"/>
            </w:pPr>
            <w:r>
              <w:rPr>
                <w:rFonts w:ascii="Arial" w:hAnsi="Arial" w:cs="Arial" w:eastAsia="Arial"/>
                <w:color w:val="0E1E3A"/>
                <w:sz w:val="17"/>
                <w:szCs w:val="17"/>
              </w:rPr>
              <w:t>‎-2.81%‎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xml:space="preserve">* عن الفترة من 30 يونيو 2023م إلى 30 سبتمبر 2023م متضمنة التوزيعات النقدية بنسبة </w:t>
      </w:r>
      <w:r>
        <w:rPr>
          <w:rFonts w:ascii="Arial" w:hAnsi="Arial" w:cs="Arial" w:eastAsia="Arial"/>
          <w:color w:val="5A6478"/>
          <w:sz w:val="17"/>
          <w:szCs w:val="17"/>
        </w:rPr>
        <w:t>‎2.8%‎</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31 ديسمبر 2022م إلى 30 سبتمبر 2023م متضمنة التوزيعات النقدية بنسبة </w:t>
      </w:r>
      <w:r>
        <w:rPr>
          <w:rFonts w:ascii="Arial" w:hAnsi="Arial" w:cs="Arial" w:eastAsia="Arial"/>
          <w:color w:val="5A6478"/>
          <w:sz w:val="17"/>
          <w:szCs w:val="17"/>
        </w:rPr>
        <w:t>‎5.60%‎</w:t>
      </w:r>
      <w:r>
        <w:br/>
      </w:r>
      <w:r>
        <w:rPr>
          <w:rFonts w:ascii="Arial" w:hAnsi="Arial" w:cs="Arial" w:eastAsia="Arial"/>
          <w:color w:val="5A6478"/>
          <w:sz w:val="17"/>
          <w:szCs w:val="17"/>
          <w:rtl/>
        </w:rPr>
        <w:t xml:space="preserve">*** عن الفترة من 30 سبتمبر 2022م إلى 30 سبتمبر 2023م متضمنة توزيعات نقدية بنسبة </w:t>
      </w:r>
      <w:r>
        <w:rPr>
          <w:rFonts w:ascii="Arial" w:hAnsi="Arial" w:cs="Arial" w:eastAsia="Arial"/>
          <w:color w:val="5A6478"/>
          <w:sz w:val="17"/>
          <w:szCs w:val="17"/>
        </w:rPr>
        <w:t>‎5.60%‎</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4"/>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r>
              <w:rPr>
                <w:rFonts w:ascii="Arial" w:hAnsi="Arial" w:cs="Arial" w:eastAsia="Arial"/>
                <w:b/>
                <w:bCs/>
                <w:color w:val="FFFFFF"/>
                <w:sz w:val="17"/>
                <w:szCs w:val="17"/>
                <w:rtl/>
              </w:rPr>
              <w:t>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r>
              <w:rPr>
                <w:rFonts w:ascii="Arial" w:hAnsi="Arial" w:cs="Arial" w:eastAsia="Arial"/>
                <w:b/>
                <w:bCs/>
                <w:color w:val="FFFFFF"/>
                <w:sz w:val="17"/>
                <w:szCs w:val="17"/>
                <w:rtl/>
              </w:rPr>
              <w:t>2</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r>
              <w:rPr>
                <w:rFonts w:ascii="Arial" w:hAnsi="Arial" w:cs="Arial" w:eastAsia="Arial"/>
                <w:b/>
                <w:bCs/>
                <w:color w:val="FFFFFF"/>
                <w:sz w:val="17"/>
                <w:szCs w:val="17"/>
                <w:rtl/>
              </w:rPr>
              <w:t>3</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r>
              <w:rPr>
                <w:rFonts w:ascii="Arial" w:hAnsi="Arial" w:cs="Arial" w:eastAsia="Arial"/>
                <w:color w:val="0E1E3A"/>
                <w:sz w:val="17"/>
                <w:szCs w:val="17"/>
                <w:rtl/>
              </w:rPr>
              <w:t>4</w:t>
            </w:r>
          </w:p>
        </w:tc>
        <w:tc>
          <w:tcPr>
            <w:tcW w:type="dxa" w:w="1663"/>
          </w:tcPr>
          <w:p>
            <w:pPr>
              <w:bidi w:val="1"/>
              <w:spacing w:before="0" w:after="0" w:line="264" w:lineRule="auto"/>
            </w:pPr>
            <w:r>
              <w:rPr>
                <w:rFonts w:ascii="Arial" w:hAnsi="Arial" w:cs="Arial" w:eastAsia="Arial"/>
                <w:color w:val="0E1E3A"/>
                <w:sz w:val="17"/>
                <w:szCs w:val="17"/>
                <w:rtl/>
              </w:rPr>
              <w:t>11.48</w:t>
            </w:r>
          </w:p>
        </w:tc>
        <w:tc>
          <w:tcPr>
            <w:tcW w:type="dxa" w:w="1663"/>
          </w:tcPr>
          <w:p>
            <w:pPr>
              <w:bidi w:val="1"/>
              <w:spacing w:before="0" w:after="0" w:line="264" w:lineRule="auto"/>
            </w:pPr>
            <w:r>
              <w:rPr>
                <w:rFonts w:ascii="Arial" w:hAnsi="Arial" w:cs="Arial" w:eastAsia="Arial"/>
                <w:color w:val="0E1E3A"/>
                <w:sz w:val="17"/>
                <w:szCs w:val="17"/>
                <w:rtl/>
              </w:rPr>
              <w:t>18.77</w:t>
            </w:r>
          </w:p>
        </w:tc>
        <w:tc>
          <w:tcPr>
            <w:tcW w:type="dxa" w:w="1663"/>
          </w:tcPr>
          <w:p>
            <w:pPr>
              <w:bidi w:val="1"/>
              <w:spacing w:before="0" w:after="0" w:line="264" w:lineRule="auto"/>
            </w:pPr>
            <w:r>
              <w:rPr>
                <w:rFonts w:ascii="Arial" w:hAnsi="Arial" w:cs="Arial" w:eastAsia="Arial"/>
                <w:color w:val="0E1E3A"/>
                <w:sz w:val="17"/>
                <w:szCs w:val="17"/>
                <w:rtl/>
              </w:rPr>
              <w:t>19.42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r>
              <w:rPr>
                <w:rFonts w:ascii="Arial" w:hAnsi="Arial" w:cs="Arial" w:eastAsia="Arial"/>
                <w:color w:val="0E1E3A"/>
                <w:sz w:val="17"/>
                <w:szCs w:val="17"/>
                <w:rtl/>
              </w:rPr>
              <w:t>5</w:t>
            </w:r>
          </w:p>
        </w:tc>
        <w:tc>
          <w:tcPr>
            <w:tcW w:type="dxa" w:w="1663"/>
          </w:tcPr>
          <w:p>
            <w:pPr>
              <w:bidi w:val="1"/>
              <w:spacing w:before="0" w:after="0" w:line="264" w:lineRule="auto"/>
            </w:pPr>
            <w:r>
              <w:rPr>
                <w:rFonts w:ascii="Arial" w:hAnsi="Arial" w:cs="Arial" w:eastAsia="Arial"/>
                <w:color w:val="0E1E3A"/>
                <w:sz w:val="17"/>
                <w:szCs w:val="17"/>
                <w:rtl/>
              </w:rPr>
              <w:t>0.61</w:t>
            </w:r>
          </w:p>
        </w:tc>
        <w:tc>
          <w:tcPr>
            <w:tcW w:type="dxa" w:w="1663"/>
          </w:tcPr>
          <w:p>
            <w:pPr>
              <w:bidi w:val="1"/>
              <w:spacing w:before="0" w:after="0" w:line="264" w:lineRule="auto"/>
            </w:pPr>
            <w:r>
              <w:rPr>
                <w:rFonts w:ascii="Arial" w:hAnsi="Arial" w:cs="Arial" w:eastAsia="Arial"/>
                <w:color w:val="0E1E3A"/>
                <w:sz w:val="17"/>
                <w:szCs w:val="17"/>
                <w:rtl/>
              </w:rPr>
              <w:t>1.66</w:t>
            </w:r>
          </w:p>
        </w:tc>
        <w:tc>
          <w:tcPr>
            <w:tcW w:type="dxa" w:w="1663"/>
          </w:tcPr>
          <w:p>
            <w:pPr>
              <w:bidi w:val="1"/>
              <w:spacing w:before="0" w:after="0" w:line="264" w:lineRule="auto"/>
            </w:pPr>
            <w:r>
              <w:rPr>
                <w:rFonts w:ascii="Arial" w:hAnsi="Arial" w:cs="Arial" w:eastAsia="Arial"/>
                <w:color w:val="0E1E3A"/>
                <w:sz w:val="17"/>
                <w:szCs w:val="17"/>
                <w:rtl/>
              </w:rPr>
              <w:t>-0.09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w:t>
            </w:r>
            <w:r>
              <w:rPr>
                <w:rFonts w:ascii="Arial" w:hAnsi="Arial" w:cs="Arial" w:eastAsia="Arial"/>
                <w:color w:val="0E1E3A"/>
                <w:sz w:val="17"/>
                <w:szCs w:val="17"/>
                <w:rtl/>
              </w:rPr>
              <w:t>6</w:t>
            </w:r>
          </w:p>
        </w:tc>
        <w:tc>
          <w:tcPr>
            <w:tcW w:type="dxa" w:w="1663"/>
          </w:tcPr>
          <w:p>
            <w:pPr>
              <w:bidi w:val="1"/>
              <w:spacing w:before="0" w:after="0" w:line="264" w:lineRule="auto"/>
            </w:pPr>
            <w:r>
              <w:rPr>
                <w:rFonts w:ascii="Arial" w:hAnsi="Arial" w:cs="Arial" w:eastAsia="Arial"/>
                <w:color w:val="0E1E3A"/>
                <w:sz w:val="17"/>
                <w:szCs w:val="17"/>
                <w:rtl/>
              </w:rPr>
              <w:t>11.47</w:t>
            </w:r>
          </w:p>
        </w:tc>
        <w:tc>
          <w:tcPr>
            <w:tcW w:type="dxa" w:w="1663"/>
          </w:tcPr>
          <w:p>
            <w:pPr>
              <w:bidi w:val="1"/>
              <w:spacing w:before="0" w:after="0" w:line="264" w:lineRule="auto"/>
            </w:pPr>
            <w:r>
              <w:rPr>
                <w:rFonts w:ascii="Arial" w:hAnsi="Arial" w:cs="Arial" w:eastAsia="Arial"/>
                <w:color w:val="0E1E3A"/>
                <w:sz w:val="17"/>
                <w:szCs w:val="17"/>
                <w:rtl/>
              </w:rPr>
              <w:t>18.78</w:t>
            </w:r>
          </w:p>
        </w:tc>
        <w:tc>
          <w:tcPr>
            <w:tcW w:type="dxa" w:w="1663"/>
          </w:tcPr>
          <w:p>
            <w:pPr>
              <w:bidi w:val="1"/>
              <w:spacing w:before="0" w:after="0" w:line="264" w:lineRule="auto"/>
            </w:pPr>
            <w:r>
              <w:rPr>
                <w:rFonts w:ascii="Arial" w:hAnsi="Arial" w:cs="Arial" w:eastAsia="Arial"/>
                <w:color w:val="0E1E3A"/>
                <w:sz w:val="17"/>
                <w:szCs w:val="17"/>
                <w:rtl/>
              </w:rPr>
              <w:t>19.46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w:t>
            </w:r>
            <w:r>
              <w:rPr>
                <w:rFonts w:ascii="Arial" w:hAnsi="Arial" w:cs="Arial" w:eastAsia="Arial"/>
                <w:color w:val="0E1E3A"/>
                <w:sz w:val="17"/>
                <w:szCs w:val="17"/>
                <w:rtl/>
              </w:rPr>
              <w:t>7</w:t>
            </w:r>
          </w:p>
        </w:tc>
        <w:tc>
          <w:tcPr>
            <w:tcW w:type="dxa" w:w="1663"/>
          </w:tcPr>
          <w:p>
            <w:pPr>
              <w:bidi w:val="1"/>
              <w:spacing w:before="0" w:after="0" w:line="264" w:lineRule="auto"/>
            </w:pPr>
            <w:r>
              <w:rPr>
                <w:rFonts w:ascii="Arial" w:hAnsi="Arial" w:cs="Arial" w:eastAsia="Arial"/>
                <w:color w:val="0E1E3A"/>
                <w:sz w:val="17"/>
                <w:szCs w:val="17"/>
                <w:rtl/>
              </w:rPr>
              <w:t>0.16</w:t>
            </w:r>
          </w:p>
        </w:tc>
        <w:tc>
          <w:tcPr>
            <w:tcW w:type="dxa" w:w="1663"/>
          </w:tcPr>
          <w:p>
            <w:pPr>
              <w:bidi w:val="1"/>
              <w:spacing w:before="0" w:after="0" w:line="264" w:lineRule="auto"/>
            </w:pPr>
            <w:r>
              <w:rPr>
                <w:rFonts w:ascii="Arial" w:hAnsi="Arial" w:cs="Arial" w:eastAsia="Arial"/>
                <w:color w:val="0E1E3A"/>
                <w:sz w:val="17"/>
                <w:szCs w:val="17"/>
                <w:rtl/>
              </w:rPr>
              <w:t>-0.55</w:t>
            </w:r>
          </w:p>
        </w:tc>
        <w:tc>
          <w:tcPr>
            <w:tcW w:type="dxa" w:w="1663"/>
          </w:tcPr>
          <w:p>
            <w:pPr>
              <w:bidi w:val="1"/>
              <w:spacing w:before="0" w:after="0" w:line="264" w:lineRule="auto"/>
            </w:pPr>
            <w:r>
              <w:rPr>
                <w:rFonts w:ascii="Arial" w:hAnsi="Arial" w:cs="Arial" w:eastAsia="Arial"/>
                <w:color w:val="0E1E3A"/>
                <w:sz w:val="17"/>
                <w:szCs w:val="17"/>
                <w:rtl/>
              </w:rPr>
              <w:t>-0.18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w:t>
            </w:r>
            <w:r>
              <w:rPr>
                <w:rFonts w:ascii="Arial" w:hAnsi="Arial" w:cs="Arial" w:eastAsia="Arial"/>
                <w:color w:val="0E1E3A"/>
                <w:sz w:val="17"/>
                <w:szCs w:val="17"/>
                <w:rtl/>
              </w:rPr>
              <w:t>8</w:t>
            </w:r>
          </w:p>
        </w:tc>
        <w:tc>
          <w:tcPr>
            <w:tcW w:type="dxa" w:w="1663"/>
          </w:tcPr>
          <w:p>
            <w:pPr>
              <w:bidi w:val="1"/>
              <w:spacing w:before="0" w:after="0" w:line="264" w:lineRule="auto"/>
            </w:pPr>
            <w:r>
              <w:rPr>
                <w:rFonts w:ascii="Arial" w:hAnsi="Arial" w:cs="Arial" w:eastAsia="Arial"/>
                <w:color w:val="0E1E3A"/>
                <w:sz w:val="17"/>
                <w:szCs w:val="17"/>
                <w:rtl/>
              </w:rPr>
              <w:t>3.27</w:t>
            </w:r>
          </w:p>
        </w:tc>
        <w:tc>
          <w:tcPr>
            <w:tcW w:type="dxa" w:w="1663"/>
          </w:tcPr>
          <w:p>
            <w:pPr>
              <w:bidi w:val="1"/>
              <w:spacing w:before="0" w:after="0" w:line="264" w:lineRule="auto"/>
            </w:pPr>
            <w:r>
              <w:rPr>
                <w:rFonts w:ascii="Arial" w:hAnsi="Arial" w:cs="Arial" w:eastAsia="Arial"/>
                <w:color w:val="0E1E3A"/>
                <w:sz w:val="17"/>
                <w:szCs w:val="17"/>
                <w:rtl/>
              </w:rPr>
              <w:t>23.27</w:t>
            </w:r>
          </w:p>
        </w:tc>
        <w:tc>
          <w:tcPr>
            <w:tcW w:type="dxa" w:w="1663"/>
          </w:tcPr>
          <w:p>
            <w:pPr>
              <w:bidi w:val="1"/>
              <w:spacing w:before="0" w:after="0" w:line="264" w:lineRule="auto"/>
            </w:pPr>
            <w:r>
              <w:rPr>
                <w:rFonts w:ascii="Arial" w:hAnsi="Arial" w:cs="Arial" w:eastAsia="Arial"/>
                <w:color w:val="0E1E3A"/>
                <w:sz w:val="17"/>
                <w:szCs w:val="17"/>
                <w:rtl/>
              </w:rPr>
              <w:t>-5.06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r>
              <w:rPr>
                <w:rFonts w:ascii="Arial" w:hAnsi="Arial" w:cs="Arial" w:eastAsia="Arial"/>
                <w:color w:val="0E1E3A"/>
                <w:sz w:val="17"/>
                <w:szCs w:val="17"/>
                <w:rtl/>
              </w:rPr>
              <w:t>9</w:t>
            </w:r>
          </w:p>
        </w:tc>
        <w:tc>
          <w:tcPr>
            <w:tcW w:type="dxa" w:w="1663"/>
          </w:tcPr>
          <w:p>
            <w:pPr>
              <w:bidi w:val="1"/>
              <w:spacing w:before="0" w:after="0" w:line="264" w:lineRule="auto"/>
            </w:pPr>
            <w:r>
              <w:rPr>
                <w:rFonts w:ascii="Arial" w:hAnsi="Arial" w:cs="Arial" w:eastAsia="Arial"/>
                <w:color w:val="0E1E3A"/>
                <w:sz w:val="17"/>
                <w:szCs w:val="17"/>
                <w:rtl/>
              </w:rPr>
              <w:t>0.29</w:t>
            </w:r>
          </w:p>
        </w:tc>
        <w:tc>
          <w:tcPr>
            <w:tcW w:type="dxa" w:w="1663"/>
          </w:tcPr>
          <w:p>
            <w:pPr>
              <w:bidi w:val="1"/>
              <w:spacing w:before="0" w:after="0" w:line="264" w:lineRule="auto"/>
            </w:pPr>
            <w:r>
              <w:rPr>
                <w:rFonts w:ascii="Arial" w:hAnsi="Arial" w:cs="Arial" w:eastAsia="Arial"/>
                <w:color w:val="0E1E3A"/>
                <w:sz w:val="17"/>
                <w:szCs w:val="17"/>
                <w:rtl/>
              </w:rPr>
              <w:t>1.24</w:t>
            </w:r>
          </w:p>
        </w:tc>
        <w:tc>
          <w:tcPr>
            <w:tcW w:type="dxa" w:w="1663"/>
          </w:tcPr>
          <w:p>
            <w:pPr>
              <w:bidi w:val="1"/>
              <w:spacing w:before="0" w:after="0" w:line="264" w:lineRule="auto"/>
            </w:pPr>
            <w:r>
              <w:rPr>
                <w:rFonts w:ascii="Arial" w:hAnsi="Arial" w:cs="Arial" w:eastAsia="Arial"/>
                <w:color w:val="0E1E3A"/>
                <w:sz w:val="17"/>
                <w:szCs w:val="17"/>
                <w:rtl/>
              </w:rPr>
              <w:t>-0.26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30 يونيو 2023م إلى 30 سبتمبر 2023م.</w:t>
      </w:r>
      <w:r>
        <w:br/>
      </w:r>
      <w:r>
        <w:rPr>
          <w:rFonts w:ascii="Arial" w:hAnsi="Arial" w:cs="Arial" w:eastAsia="Arial"/>
          <w:color w:val="5A6478"/>
          <w:sz w:val="17"/>
          <w:szCs w:val="17"/>
          <w:rtl/>
        </w:rPr>
        <w:t>2. عن الفترة من 31 ديسمبر 2022م إلى 30 سبتمبر 2023م.</w:t>
      </w:r>
      <w:r>
        <w:br/>
      </w:r>
      <w:r>
        <w:rPr>
          <w:rFonts w:ascii="Arial" w:hAnsi="Arial" w:cs="Arial" w:eastAsia="Arial"/>
          <w:color w:val="5A6478"/>
          <w:sz w:val="17"/>
          <w:szCs w:val="17"/>
          <w:rtl/>
        </w:rPr>
        <w:t>3. عن الفترة من 30 سبتمبر 2022م إلى 30 سبتمبر 2023م.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 تم احتساب معايير الأداء والمخاطر بناء 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5"/>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يوجد مستجدات أو تغييرات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أصدر الاحتياطي الفدرالي الأمريكي مؤخرا مؤشرات على أنه سوف يحافظ على ارتفاع أسعار الفائدة في الوقت الحاضر، مواصلا حملته الهادفة إلى السيطرة على معدل التضخم. ولكن على الرغم من ارتفاع أسعار الفائدة، لا يزال الكثير من الشركات الأمريكية يستثمر في أصول منتجة، ما يعكس قوة حجم الطلب على تمويل إجارة المعدات.</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أظهر مؤشر التأجير والتمويل الشهري (أم أل أف آي-25) الذي تصدره جمعية تأجير وتمويل المعدات في الولايات المتحدة الأمريكية ويشتمل على بيانات النشاط الاقتصادي لخمس وعشرين شركة تمثل شرائحا مختلفة من قطاع تمويل المعدات الذي تقدر قيمته بما مجموعه 1 ترليون دولار أمريكي، أن الحجم العام للأعمال الجديدة لشركات المؤشر لشهر أغسطس 2023م قد بلغ 10.1 مليار دولار أمريكي، بارتفاع بنسبة </w:t>
      </w:r>
      <w:r>
        <w:rPr>
          <w:rFonts w:ascii="Arial" w:hAnsi="Arial" w:cs="Arial" w:eastAsia="Arial"/>
          <w:color w:val="0E1E3A"/>
          <w:sz w:val="20"/>
          <w:szCs w:val="20"/>
        </w:rPr>
        <w:t>‎14,0%‎</w:t>
      </w:r>
      <w:r>
        <w:rPr>
          <w:rFonts w:ascii="Arial" w:hAnsi="Arial" w:cs="Arial" w:eastAsia="Arial"/>
          <w:color w:val="0E1E3A"/>
          <w:sz w:val="20"/>
          <w:szCs w:val="20"/>
          <w:rtl/>
        </w:rPr>
        <w:t xml:space="preserve"> مقارنة بحجم الأعمال الجديدة لشهر أغسطس 2022م.</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حسبما أعلنه مؤتمر الأمم المتحدة للتجارة والتنمية (الأونكتاد)، وصل حجم التجارة العالمية إلى مستوى قياسي غير مسبوق في العام 2022م بلغ 32 ترليون دولار أمريكي – حيث بلغ حجم التجارة في السلع حوالي 25 ترليون دولار أمريكي (بزيادة تقدر بحوالي </w:t>
      </w:r>
      <w:r>
        <w:rPr>
          <w:rFonts w:ascii="Arial" w:hAnsi="Arial" w:cs="Arial" w:eastAsia="Arial"/>
          <w:color w:val="0E1E3A"/>
          <w:sz w:val="20"/>
          <w:szCs w:val="20"/>
        </w:rPr>
        <w:t>‎10%‎</w:t>
      </w:r>
      <w:r>
        <w:rPr>
          <w:rFonts w:ascii="Arial" w:hAnsi="Arial" w:cs="Arial" w:eastAsia="Arial"/>
          <w:color w:val="0E1E3A"/>
          <w:sz w:val="20"/>
          <w:szCs w:val="20"/>
          <w:rtl/>
        </w:rPr>
        <w:t xml:space="preserve"> مقارنة بالعام 2021م)، بينما بلغ حجم التجارة في الخدمات حوالي 7 ترليون دولار أمريكي (بزيادة تقدر بحوالي </w:t>
      </w:r>
      <w:r>
        <w:rPr>
          <w:rFonts w:ascii="Arial" w:hAnsi="Arial" w:cs="Arial" w:eastAsia="Arial"/>
          <w:color w:val="0E1E3A"/>
          <w:sz w:val="20"/>
          <w:szCs w:val="20"/>
        </w:rPr>
        <w:t>‎15%‎</w:t>
      </w:r>
      <w:r>
        <w:rPr>
          <w:rFonts w:ascii="Arial" w:hAnsi="Arial" w:cs="Arial" w:eastAsia="Arial"/>
          <w:color w:val="0E1E3A"/>
          <w:sz w:val="20"/>
          <w:szCs w:val="20"/>
          <w:rtl/>
        </w:rPr>
        <w:t xml:space="preserve"> مقارنة بالعام السابق).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نتجت هذه المستويات القياسية عن النمو القوي في النصف الأول من العام 2022م. غير أن تدهور الأوضاع الاقتصادية وتفاقم الضبابية وعدم اليقين أدت إلى تحول النمو إلى سلبي في النصف الثاني من العام 2022م ومن المتوقع أن يشهد ركودا في العام 2023م.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اتسعت فجوة تمويل التجارة العالمية لتصل إلى 2.5 ترليون دولار أمريكي (وفقا لأحدث دراسة أجراها البنك الآسيوي للتنمية في سبتمبر 2023م)، مسجلا ارتفاعا بنسبة </w:t>
      </w:r>
      <w:r>
        <w:rPr>
          <w:rFonts w:ascii="Arial" w:hAnsi="Arial" w:cs="Arial" w:eastAsia="Arial"/>
          <w:color w:val="0E1E3A"/>
          <w:sz w:val="20"/>
          <w:szCs w:val="20"/>
        </w:rPr>
        <w:t>‎47%‎</w:t>
      </w:r>
      <w:r>
        <w:rPr>
          <w:rFonts w:ascii="Arial" w:hAnsi="Arial" w:cs="Arial" w:eastAsia="Arial"/>
          <w:color w:val="0E1E3A"/>
          <w:sz w:val="20"/>
          <w:szCs w:val="20"/>
          <w:rtl/>
        </w:rPr>
        <w:t xml:space="preserve"> مقارنة بدراسته السابقة التي قدرت حجم فجوة التمويل في العام 2020م عند 1.7 ترليون دولار أمريكي. وقد أصبحت الفجوة تمثل الآن حوالي </w:t>
      </w:r>
      <w:r>
        <w:rPr>
          <w:rFonts w:ascii="Arial" w:hAnsi="Arial" w:cs="Arial" w:eastAsia="Arial"/>
          <w:color w:val="0E1E3A"/>
          <w:sz w:val="20"/>
          <w:szCs w:val="20"/>
        </w:rPr>
        <w:t>‎10%‎</w:t>
      </w:r>
      <w:r>
        <w:rPr>
          <w:rFonts w:ascii="Arial" w:hAnsi="Arial" w:cs="Arial" w:eastAsia="Arial"/>
          <w:color w:val="0E1E3A"/>
          <w:sz w:val="20"/>
          <w:szCs w:val="20"/>
          <w:rtl/>
        </w:rPr>
        <w:t xml:space="preserve"> من تجارة السلع العالمية.</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وفقا لما أوردته ريفينيتيف Refinitiv، تجاوز حجم إصدارات الصكوك العالمية توقعات الأسواق، ليصل إلى 193.3 مليار دولار أمريكي في العام 2022م على الرغم من العدد غير المسبوق للارتفاعات المتتالية التي شهدها خلال العام 2022م، ليكون بذلك ثاني أكبر حجم نمو سنوي بعد أن كان قد وصل إلى 196.5 مليار دولار أمريكي في العام 2021م.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تتوقع وكالة موديز تراجع إصدارات الصكوك العالمية بنسبة </w:t>
      </w:r>
      <w:r>
        <w:rPr>
          <w:rFonts w:ascii="Arial" w:hAnsi="Arial" w:cs="Arial" w:eastAsia="Arial"/>
          <w:color w:val="0E1E3A"/>
          <w:sz w:val="20"/>
          <w:szCs w:val="20"/>
        </w:rPr>
        <w:t>‎10%‎</w:t>
      </w:r>
      <w:r>
        <w:rPr>
          <w:rFonts w:ascii="Arial" w:hAnsi="Arial" w:cs="Arial" w:eastAsia="Arial"/>
          <w:color w:val="0E1E3A"/>
          <w:sz w:val="20"/>
          <w:szCs w:val="20"/>
          <w:rtl/>
        </w:rPr>
        <w:t xml:space="preserve"> في العام 2023م نتيجة انخفاض حجم إصدارات كبار المصدرين السياديين، حيث يؤدي ارتفاع أسعار النفط والنمو الاقتصادي المستدام إلى تعزيز الأرصدة المالية.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أما من حيث الأداء، وبعد أن شهدت أسواق الصكوك العالمية أسوأ سنة لها منذ عشرات السنين في العام 2022م، تعافت سوق الصكوك بشكل بسيط، وحقق مؤشر داو جونز للصكوك (بدون إعادة استثمار) مكاسبا بلغت </w:t>
      </w:r>
      <w:r>
        <w:rPr>
          <w:rFonts w:ascii="Arial" w:hAnsi="Arial" w:cs="Arial" w:eastAsia="Arial"/>
          <w:color w:val="0E1E3A"/>
          <w:sz w:val="20"/>
          <w:szCs w:val="20"/>
        </w:rPr>
        <w:t>‎0.7%‎</w:t>
      </w:r>
      <w:r>
        <w:rPr>
          <w:rFonts w:ascii="Arial" w:hAnsi="Arial" w:cs="Arial" w:eastAsia="Arial"/>
          <w:color w:val="0E1E3A"/>
          <w:sz w:val="20"/>
          <w:szCs w:val="20"/>
          <w:rtl/>
        </w:rPr>
        <w:t xml:space="preserve"> من بداية السنة حتى تاريخه، بينما حقق مؤشر ستاندرد آند بورز للصكوك الخليجية مكاسبا بنسبة </w:t>
      </w:r>
      <w:r>
        <w:rPr>
          <w:rFonts w:ascii="Arial" w:hAnsi="Arial" w:cs="Arial" w:eastAsia="Arial"/>
          <w:color w:val="0E1E3A"/>
          <w:sz w:val="20"/>
          <w:szCs w:val="20"/>
        </w:rPr>
        <w:t>‎0.8%‎</w:t>
      </w:r>
      <w:r>
        <w:rPr>
          <w:rFonts w:ascii="Arial" w:hAnsi="Arial" w:cs="Arial" w:eastAsia="Arial"/>
          <w:color w:val="0E1E3A"/>
          <w:sz w:val="20"/>
          <w:szCs w:val="20"/>
          <w:rtl/>
        </w:rPr>
        <w:t xml:space="preserve"> من بداية السنة حتى تاريخه.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 *</w:t>
      </w:r>
    </w:p>
    <w:p>
      <w:pPr>
        <w:bidi w:val="1"/>
        <w:spacing w:before="0" w:after="80" w:line="240" w:lineRule="auto"/>
        <w:jc w:val="center"/>
      </w:pPr>
      <w:r>
        <w:drawing>
          <wp:inline xmlns:a="http://schemas.openxmlformats.org/drawingml/2006/main" xmlns:pic="http://schemas.openxmlformats.org/drawingml/2006/picture">
            <wp:extent cx="6336000" cy="2825514"/>
            <wp:docPr id="24" name="Picture 9048"/>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2825514"/>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الأسعار كما في 28 سبتمبر 2023م.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50"/>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الثالث 2023م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