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5"/>
            <wp:cNvGraphicFramePr/>
            <a:graphic>
              <a:graphicData uri="http://schemas.openxmlformats.org/drawingml/2006/picture">
                <pic:pic>
                  <pic:nvPicPr>
                    <pic:cNvPr id="9025" name="banner9025.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9.7595</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95,804,675</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31,297,923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6.31%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6.78%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2023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2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are 3.6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495,804,675</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461,445,661</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w:t>
            </w:r>
          </w:p>
        </w:tc>
        <w:tc>
          <w:tcPr>
            <w:tcW w:type="dxa" w:w="6860"/>
          </w:tcPr>
          <w:p>
            <w:pPr>
              <w:spacing w:before="0" w:after="0" w:line="276" w:lineRule="auto"/>
            </w:pPr>
            <w:r>
              <w:rPr>
                <w:rFonts w:ascii="Arial" w:hAnsi="Arial" w:cs="Arial" w:eastAsia="Arial"/>
                <w:b/>
                <w:bCs/>
                <w:color w:val="0E1E3A"/>
                <w:sz w:val="18"/>
                <w:szCs w:val="18"/>
              </w:rPr>
              <w:t>0.85%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0.99%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AVERAGE NET ASSET VALUE****</w:t>
            </w:r>
          </w:p>
        </w:tc>
        <w:tc>
          <w:tcPr>
            <w:tcW w:type="dxa" w:w="6860"/>
          </w:tcPr>
          <w:p>
            <w:pPr>
              <w:spacing w:before="0" w:after="0" w:line="276" w:lineRule="auto"/>
            </w:pPr>
            <w:r>
              <w:rPr>
                <w:rFonts w:ascii="Arial" w:hAnsi="Arial" w:cs="Arial" w:eastAsia="Arial"/>
                <w:b/>
                <w:bCs/>
                <w:color w:val="0E1E3A"/>
                <w:sz w:val="18"/>
                <w:szCs w:val="18"/>
              </w:rPr>
              <w:t>1.05%</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4,885,658</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2023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465,927,902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2"/>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104,106,379</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170,924,164</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29,891,303</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123,872,809</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67,010,020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4"/>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1" name="Picture 9035"/>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77730"/>
                    </a:xfrm>
                    <a:prstGeom prst="rect"/>
                  </pic:spPr>
                </pic:pic>
              </a:graphicData>
            </a:graphic>
          </wp:inline>
        </w:drawing>
      </w: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2023</w:t>
            </w:r>
          </w:p>
        </w:tc>
        <w:tc>
          <w:tcPr>
            <w:tcW w:type="dxa" w:w="6860"/>
          </w:tcPr>
          <w:p>
            <w:pPr>
              <w:spacing w:before="0" w:after="0" w:line="276" w:lineRule="auto"/>
            </w:pPr>
            <w:r>
              <w:rPr>
                <w:rFonts w:ascii="Arial" w:hAnsi="Arial" w:cs="Arial" w:eastAsia="Arial"/>
                <w:b/>
                <w:bCs/>
                <w:color w:val="0E1E3A"/>
                <w:sz w:val="18"/>
                <w:szCs w:val="18"/>
              </w:rPr>
              <w:t>SAR 329,551,846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(30 SEPTEMBER 2023)</w:t>
            </w:r>
          </w:p>
        </w:tc>
        <w:tc>
          <w:tcPr>
            <w:tcW w:type="dxa" w:w="6860"/>
          </w:tcPr>
          <w:p>
            <w:pPr>
              <w:spacing w:before="0" w:after="0" w:line="276" w:lineRule="auto"/>
            </w:pPr>
            <w:r>
              <w:rPr>
                <w:rFonts w:ascii="Arial" w:hAnsi="Arial" w:cs="Arial" w:eastAsia="Arial"/>
                <w:b/>
                <w:bCs/>
                <w:color w:val="0E1E3A"/>
                <w:sz w:val="18"/>
                <w:szCs w:val="18"/>
              </w:rPr>
              <w:t>SAR 6.97</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30 JUNE 2023 TO 30 SEPTEMBER 2023)*</w:t>
            </w:r>
          </w:p>
        </w:tc>
        <w:tc>
          <w:tcPr>
            <w:tcW w:type="dxa" w:w="6860"/>
          </w:tcPr>
          <w:p>
            <w:pPr>
              <w:spacing w:before="0" w:after="0" w:line="276" w:lineRule="auto"/>
            </w:pPr>
            <w:r>
              <w:rPr>
                <w:rFonts w:ascii="Arial" w:hAnsi="Arial" w:cs="Arial" w:eastAsia="Arial"/>
                <w:b/>
                <w:bCs/>
                <w:color w:val="0E1E3A"/>
                <w:sz w:val="18"/>
                <w:szCs w:val="18"/>
              </w:rPr>
              <w:t>0.14%</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2023)</w:t>
            </w:r>
          </w:p>
        </w:tc>
        <w:tc>
          <w:tcPr>
            <w:tcW w:type="dxa" w:w="6860"/>
          </w:tcPr>
          <w:p>
            <w:pPr>
              <w:spacing w:before="0" w:after="0" w:line="276" w:lineRule="auto"/>
            </w:pPr>
            <w:r>
              <w:rPr>
                <w:rFonts w:ascii="Arial" w:hAnsi="Arial" w:cs="Arial" w:eastAsia="Arial"/>
                <w:b/>
                <w:bCs/>
                <w:color w:val="0E1E3A"/>
                <w:sz w:val="18"/>
                <w:szCs w:val="18"/>
              </w:rPr>
              <w:t>-30.30%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7.79</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5.91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30 June 2023 = SAR 6.96.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8"/>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13,238,812</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INTIAL UNIT PRICE</w:t>
            </w:r>
          </w:p>
        </w:tc>
        <w:tc>
          <w:tcPr>
            <w:tcW w:type="dxa" w:w="6860"/>
          </w:tcPr>
          <w:p>
            <w:pPr>
              <w:spacing w:before="0" w:after="0" w:line="276" w:lineRule="auto"/>
            </w:pPr>
            <w:r>
              <w:rPr>
                <w:rFonts w:ascii="Arial" w:hAnsi="Arial" w:cs="Arial" w:eastAsia="Arial"/>
                <w:b/>
                <w:bCs/>
                <w:color w:val="0E1E3A"/>
                <w:sz w:val="18"/>
                <w:szCs w:val="18"/>
              </w:rPr>
              <w:t>2.80%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4.02%</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9,171,701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SEPTEMBER 2023)</w:t>
            </w:r>
          </w:p>
        </w:tc>
        <w:tc>
          <w:tcPr>
            <w:tcW w:type="dxa" w:w="6860"/>
          </w:tcPr>
          <w:p>
            <w:pPr>
              <w:spacing w:before="0" w:after="0" w:line="276" w:lineRule="auto"/>
            </w:pPr>
            <w:r>
              <w:rPr>
                <w:rFonts w:ascii="Arial" w:hAnsi="Arial" w:cs="Arial" w:eastAsia="Arial"/>
                <w:b/>
                <w:bCs/>
                <w:color w:val="0E1E3A"/>
                <w:sz w:val="18"/>
                <w:szCs w:val="18"/>
              </w:rPr>
              <w:t>2.78%</w:t>
            </w:r>
          </w:p>
        </w:tc>
      </w:tr>
    </w:tbl>
    <w:p>
      <w:pPr>
        <w:spacing w:before="0" w:after="40" w:line="300" w:lineRule="auto"/>
      </w:pPr>
    </w:p>
    <w:p>
      <w:pPr>
        <w:spacing w:before="0" w:after="80" w:line="312" w:lineRule="auto"/>
      </w:pPr>
      <w:r>
        <w:rPr>
          <w:rFonts w:ascii="Arial" w:hAnsi="Arial" w:cs="Arial" w:eastAsia="Arial"/>
          <w:color w:val="5A6478"/>
          <w:sz w:val="17"/>
          <w:szCs w:val="17"/>
        </w:rPr>
        <w:t>* From 1 July 2023 to 30 September 2023.</w:t>
      </w:r>
      <w:r>
        <w:br/>
      </w:r>
      <w:r>
        <w:rPr>
          <w:rFonts w:ascii="Arial" w:hAnsi="Arial" w:cs="Arial" w:eastAsia="Arial"/>
          <w:color w:val="5A6478"/>
          <w:sz w:val="17"/>
          <w:szCs w:val="17"/>
        </w:rPr>
        <w:t>** From 1 January to 30 June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0.14%</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-30.30%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-17.63%</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 SOFR) 12 months + 300 basis points.</w:t>
      </w:r>
      <w:r>
        <w:br/>
      </w:r>
      <w:r>
        <w:rPr>
          <w:rFonts w:ascii="Arial" w:hAnsi="Arial" w:cs="Arial" w:eastAsia="Arial"/>
          <w:color w:val="5A6478"/>
          <w:sz w:val="17"/>
          <w:szCs w:val="17"/>
        </w:rPr>
        <w:t>** Unit Price as at 30 June 2023 = SAR 6.96.</w:t>
      </w:r>
      <w:r>
        <w:br/>
      </w:r>
      <w:r>
        <w:rPr>
          <w:rFonts w:ascii="Arial" w:hAnsi="Arial" w:cs="Arial" w:eastAsia="Arial"/>
          <w:color w:val="5A6478"/>
          <w:sz w:val="17"/>
          <w:szCs w:val="17"/>
        </w:rPr>
        <w:t>*** From the Fund’s Date of Inception to end Q3 2023.</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9.9491</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9.7595</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-1.91%</w:t>
            </w:r>
          </w:p>
        </w:tc>
        <w:tc>
          <w:tcPr>
            <w:tcW w:type="dxa" w:w="3326"/>
          </w:tcPr>
          <w:p>
            <w:pPr>
              <w:spacing w:before="0" w:after="0" w:line="264" w:lineRule="auto"/>
            </w:pPr>
            <w:r>
              <w:rPr>
                <w:rFonts w:ascii="Arial" w:hAnsi="Arial" w:cs="Arial" w:eastAsia="Arial"/>
                <w:color w:val="0E1E3A"/>
                <w:sz w:val="17"/>
                <w:szCs w:val="17"/>
              </w:rPr>
              <w:t>2.07%****</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 SOFR) 12 months + 300 basis points</w:t>
      </w:r>
      <w:r>
        <w:br/>
      </w:r>
      <w:r>
        <w:rPr>
          <w:rFonts w:ascii="Arial" w:hAnsi="Arial" w:cs="Arial" w:eastAsia="Arial"/>
          <w:color w:val="5A6478"/>
          <w:sz w:val="17"/>
          <w:szCs w:val="17"/>
        </w:rPr>
        <w:t>** As at 30 June 2023.</w:t>
      </w:r>
      <w:r>
        <w:br/>
      </w:r>
      <w:r>
        <w:rPr>
          <w:rFonts w:ascii="Arial" w:hAnsi="Arial" w:cs="Arial" w:eastAsia="Arial"/>
          <w:color w:val="5A6478"/>
          <w:sz w:val="17"/>
          <w:szCs w:val="17"/>
        </w:rPr>
        <w:t>***As at 30 September 2023.</w:t>
      </w:r>
      <w:r>
        <w:br/>
      </w:r>
      <w:r>
        <w:rPr>
          <w:rFonts w:ascii="Arial" w:hAnsi="Arial" w:cs="Arial" w:eastAsia="Arial"/>
          <w:color w:val="5A6478"/>
          <w:sz w:val="17"/>
          <w:szCs w:val="17"/>
        </w:rPr>
        <w:t>**** Benchmark average return is 8.39% per annum, or a return of 2.07%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3"/>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UP TO 30 JUNE 2023*</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0.91%</w:t>
            </w:r>
          </w:p>
        </w:tc>
        <w:tc>
          <w:tcPr>
            <w:tcW w:type="dxa" w:w="1663"/>
          </w:tcPr>
          <w:p>
            <w:pPr>
              <w:spacing w:before="0" w:after="0" w:line="264" w:lineRule="auto"/>
            </w:pPr>
            <w:r>
              <w:rPr>
                <w:rFonts w:ascii="Arial" w:hAnsi="Arial" w:cs="Arial" w:eastAsia="Arial"/>
                <w:color w:val="0E1E3A"/>
                <w:sz w:val="17"/>
                <w:szCs w:val="17"/>
              </w:rPr>
              <w:t>3.83%</w:t>
            </w:r>
          </w:p>
        </w:tc>
        <w:tc>
          <w:tcPr>
            <w:tcW w:type="dxa" w:w="1663"/>
          </w:tcPr>
          <w:p>
            <w:pPr>
              <w:spacing w:before="0" w:after="0" w:line="264" w:lineRule="auto"/>
            </w:pPr>
            <w:r>
              <w:rPr>
                <w:rFonts w:ascii="Arial" w:hAnsi="Arial" w:cs="Arial" w:eastAsia="Arial"/>
                <w:color w:val="0E1E3A"/>
                <w:sz w:val="17"/>
                <w:szCs w:val="17"/>
              </w:rPr>
              <w:t>5.64%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2.07%</w:t>
            </w:r>
          </w:p>
        </w:tc>
        <w:tc>
          <w:tcPr>
            <w:tcW w:type="dxa" w:w="1663"/>
          </w:tcPr>
          <w:p>
            <w:pPr>
              <w:spacing w:before="0" w:after="0" w:line="264" w:lineRule="auto"/>
            </w:pPr>
            <w:r>
              <w:rPr>
                <w:rFonts w:ascii="Arial" w:hAnsi="Arial" w:cs="Arial" w:eastAsia="Arial"/>
                <w:color w:val="0E1E3A"/>
                <w:sz w:val="17"/>
                <w:szCs w:val="17"/>
              </w:rPr>
              <w:t>6.20%</w:t>
            </w:r>
          </w:p>
        </w:tc>
        <w:tc>
          <w:tcPr>
            <w:tcW w:type="dxa" w:w="1663"/>
          </w:tcPr>
          <w:p>
            <w:pPr>
              <w:spacing w:before="0" w:after="0" w:line="264" w:lineRule="auto"/>
            </w:pPr>
            <w:r>
              <w:rPr>
                <w:rFonts w:ascii="Arial" w:hAnsi="Arial" w:cs="Arial" w:eastAsia="Arial"/>
                <w:color w:val="0E1E3A"/>
                <w:sz w:val="17"/>
                <w:szCs w:val="17"/>
              </w:rPr>
              <w:t>8.44%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-1.16%</w:t>
            </w:r>
          </w:p>
        </w:tc>
        <w:tc>
          <w:tcPr>
            <w:tcW w:type="dxa" w:w="1663"/>
          </w:tcPr>
          <w:p>
            <w:pPr>
              <w:spacing w:before="0" w:after="0" w:line="264" w:lineRule="auto"/>
            </w:pPr>
            <w:r>
              <w:rPr>
                <w:rFonts w:ascii="Arial" w:hAnsi="Arial" w:cs="Arial" w:eastAsia="Arial"/>
                <w:color w:val="0E1E3A"/>
                <w:sz w:val="17"/>
                <w:szCs w:val="17"/>
              </w:rPr>
              <w:t>-2.37%</w:t>
            </w:r>
          </w:p>
        </w:tc>
        <w:tc>
          <w:tcPr>
            <w:tcW w:type="dxa" w:w="1663"/>
          </w:tcPr>
          <w:p>
            <w:pPr>
              <w:spacing w:before="0" w:after="0" w:line="264" w:lineRule="auto"/>
            </w:pPr>
            <w:r>
              <w:rPr>
                <w:rFonts w:ascii="Arial" w:hAnsi="Arial" w:cs="Arial" w:eastAsia="Arial"/>
                <w:color w:val="0E1E3A"/>
                <w:sz w:val="17"/>
                <w:szCs w:val="17"/>
              </w:rPr>
              <w:t>--2.81%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30 June 2023 to 30 September 2023, including cash distributions of 2.8%.</w:t>
      </w:r>
      <w:r>
        <w:br/>
      </w:r>
      <w:r>
        <w:rPr>
          <w:rFonts w:ascii="Arial" w:hAnsi="Arial" w:cs="Arial" w:eastAsia="Arial"/>
          <w:color w:val="5A6478"/>
          <w:sz w:val="17"/>
          <w:szCs w:val="17"/>
        </w:rPr>
        <w:t>** For the period from 31 December 2022 to 30 September 2023, including cash distributions of 5.60%.</w:t>
      </w:r>
      <w:r>
        <w:br/>
      </w:r>
      <w:r>
        <w:rPr>
          <w:rFonts w:ascii="Arial" w:hAnsi="Arial" w:cs="Arial" w:eastAsia="Arial"/>
          <w:color w:val="5A6478"/>
          <w:sz w:val="17"/>
          <w:szCs w:val="17"/>
        </w:rPr>
        <w:t>*** For the period from 30 September 2022 to 30 September 2023, including cash distributions of 5.60%.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4"/>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11.48</w:t>
            </w:r>
          </w:p>
        </w:tc>
        <w:tc>
          <w:tcPr>
            <w:tcW w:type="dxa" w:w="1663"/>
          </w:tcPr>
          <w:p>
            <w:pPr>
              <w:spacing w:before="0" w:after="0" w:line="264" w:lineRule="auto"/>
            </w:pPr>
            <w:r>
              <w:rPr>
                <w:rFonts w:ascii="Arial" w:hAnsi="Arial" w:cs="Arial" w:eastAsia="Arial"/>
                <w:color w:val="0E1E3A"/>
                <w:sz w:val="17"/>
                <w:szCs w:val="17"/>
              </w:rPr>
              <w:t>18.77</w:t>
            </w:r>
          </w:p>
        </w:tc>
        <w:tc>
          <w:tcPr>
            <w:tcW w:type="dxa" w:w="1663"/>
          </w:tcPr>
          <w:p>
            <w:pPr>
              <w:spacing w:before="0" w:after="0" w:line="264" w:lineRule="auto"/>
            </w:pPr>
            <w:r>
              <w:rPr>
                <w:rFonts w:ascii="Arial" w:hAnsi="Arial" w:cs="Arial" w:eastAsia="Arial"/>
                <w:color w:val="0E1E3A"/>
                <w:sz w:val="17"/>
                <w:szCs w:val="17"/>
              </w:rPr>
              <w:t>19.42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0.61</w:t>
            </w:r>
          </w:p>
        </w:tc>
        <w:tc>
          <w:tcPr>
            <w:tcW w:type="dxa" w:w="1663"/>
          </w:tcPr>
          <w:p>
            <w:pPr>
              <w:spacing w:before="0" w:after="0" w:line="264" w:lineRule="auto"/>
            </w:pPr>
            <w:r>
              <w:rPr>
                <w:rFonts w:ascii="Arial" w:hAnsi="Arial" w:cs="Arial" w:eastAsia="Arial"/>
                <w:color w:val="0E1E3A"/>
                <w:sz w:val="17"/>
                <w:szCs w:val="17"/>
              </w:rPr>
              <w:t>1.66</w:t>
            </w:r>
          </w:p>
        </w:tc>
        <w:tc>
          <w:tcPr>
            <w:tcW w:type="dxa" w:w="1663"/>
          </w:tcPr>
          <w:p>
            <w:pPr>
              <w:spacing w:before="0" w:after="0" w:line="264" w:lineRule="auto"/>
            </w:pPr>
            <w:r>
              <w:rPr>
                <w:rFonts w:ascii="Arial" w:hAnsi="Arial" w:cs="Arial" w:eastAsia="Arial"/>
                <w:color w:val="0E1E3A"/>
                <w:sz w:val="17"/>
                <w:szCs w:val="17"/>
              </w:rPr>
              <w:t>-0.09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11.47</w:t>
            </w:r>
          </w:p>
        </w:tc>
        <w:tc>
          <w:tcPr>
            <w:tcW w:type="dxa" w:w="1663"/>
          </w:tcPr>
          <w:p>
            <w:pPr>
              <w:spacing w:before="0" w:after="0" w:line="264" w:lineRule="auto"/>
            </w:pPr>
            <w:r>
              <w:rPr>
                <w:rFonts w:ascii="Arial" w:hAnsi="Arial" w:cs="Arial" w:eastAsia="Arial"/>
                <w:color w:val="0E1E3A"/>
                <w:sz w:val="17"/>
                <w:szCs w:val="17"/>
              </w:rPr>
              <w:t>18.78</w:t>
            </w:r>
          </w:p>
        </w:tc>
        <w:tc>
          <w:tcPr>
            <w:tcW w:type="dxa" w:w="1663"/>
          </w:tcPr>
          <w:p>
            <w:pPr>
              <w:spacing w:before="0" w:after="0" w:line="264" w:lineRule="auto"/>
            </w:pPr>
            <w:r>
              <w:rPr>
                <w:rFonts w:ascii="Arial" w:hAnsi="Arial" w:cs="Arial" w:eastAsia="Arial"/>
                <w:color w:val="0E1E3A"/>
                <w:sz w:val="17"/>
                <w:szCs w:val="17"/>
              </w:rPr>
              <w:t>19.46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0.16</w:t>
            </w:r>
          </w:p>
        </w:tc>
        <w:tc>
          <w:tcPr>
            <w:tcW w:type="dxa" w:w="1663"/>
          </w:tcPr>
          <w:p>
            <w:pPr>
              <w:spacing w:before="0" w:after="0" w:line="264" w:lineRule="auto"/>
            </w:pPr>
            <w:r>
              <w:rPr>
                <w:rFonts w:ascii="Arial" w:hAnsi="Arial" w:cs="Arial" w:eastAsia="Arial"/>
                <w:color w:val="0E1E3A"/>
                <w:sz w:val="17"/>
                <w:szCs w:val="17"/>
              </w:rPr>
              <w:t>-0.55</w:t>
            </w:r>
          </w:p>
        </w:tc>
        <w:tc>
          <w:tcPr>
            <w:tcW w:type="dxa" w:w="1663"/>
          </w:tcPr>
          <w:p>
            <w:pPr>
              <w:spacing w:before="0" w:after="0" w:line="264" w:lineRule="auto"/>
            </w:pPr>
            <w:r>
              <w:rPr>
                <w:rFonts w:ascii="Arial" w:hAnsi="Arial" w:cs="Arial" w:eastAsia="Arial"/>
                <w:color w:val="0E1E3A"/>
                <w:sz w:val="17"/>
                <w:szCs w:val="17"/>
              </w:rPr>
              <w:t>-0.18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3.27</w:t>
            </w:r>
          </w:p>
        </w:tc>
        <w:tc>
          <w:tcPr>
            <w:tcW w:type="dxa" w:w="1663"/>
          </w:tcPr>
          <w:p>
            <w:pPr>
              <w:spacing w:before="0" w:after="0" w:line="264" w:lineRule="auto"/>
            </w:pPr>
            <w:r>
              <w:rPr>
                <w:rFonts w:ascii="Arial" w:hAnsi="Arial" w:cs="Arial" w:eastAsia="Arial"/>
                <w:color w:val="0E1E3A"/>
                <w:sz w:val="17"/>
                <w:szCs w:val="17"/>
              </w:rPr>
              <w:t>23.27</w:t>
            </w:r>
          </w:p>
        </w:tc>
        <w:tc>
          <w:tcPr>
            <w:tcW w:type="dxa" w:w="1663"/>
          </w:tcPr>
          <w:p>
            <w:pPr>
              <w:spacing w:before="0" w:after="0" w:line="264" w:lineRule="auto"/>
            </w:pPr>
            <w:r>
              <w:rPr>
                <w:rFonts w:ascii="Arial" w:hAnsi="Arial" w:cs="Arial" w:eastAsia="Arial"/>
                <w:color w:val="0E1E3A"/>
                <w:sz w:val="17"/>
                <w:szCs w:val="17"/>
              </w:rPr>
              <w:t>-5.06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0.29</w:t>
            </w:r>
          </w:p>
        </w:tc>
        <w:tc>
          <w:tcPr>
            <w:tcW w:type="dxa" w:w="1663"/>
          </w:tcPr>
          <w:p>
            <w:pPr>
              <w:spacing w:before="0" w:after="0" w:line="264" w:lineRule="auto"/>
            </w:pPr>
            <w:r>
              <w:rPr>
                <w:rFonts w:ascii="Arial" w:hAnsi="Arial" w:cs="Arial" w:eastAsia="Arial"/>
                <w:color w:val="0E1E3A"/>
                <w:sz w:val="17"/>
                <w:szCs w:val="17"/>
              </w:rPr>
              <w:t>1.24</w:t>
            </w:r>
          </w:p>
        </w:tc>
        <w:tc>
          <w:tcPr>
            <w:tcW w:type="dxa" w:w="1663"/>
          </w:tcPr>
          <w:p>
            <w:pPr>
              <w:spacing w:before="0" w:after="0" w:line="264" w:lineRule="auto"/>
            </w:pPr>
            <w:r>
              <w:rPr>
                <w:rFonts w:ascii="Arial" w:hAnsi="Arial" w:cs="Arial" w:eastAsia="Arial"/>
                <w:color w:val="0E1E3A"/>
                <w:sz w:val="17"/>
                <w:szCs w:val="17"/>
              </w:rPr>
              <w:t>-0.26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30 June 2023 to 30 September 2023</w:t>
      </w:r>
      <w:r>
        <w:br/>
      </w:r>
      <w:r>
        <w:rPr>
          <w:rFonts w:ascii="Arial" w:hAnsi="Arial" w:cs="Arial" w:eastAsia="Arial"/>
          <w:color w:val="5A6478"/>
          <w:sz w:val="17"/>
          <w:szCs w:val="17"/>
        </w:rPr>
        <w:t>2. For the period from 31 December 2022 to 30 September 2023</w:t>
      </w:r>
      <w:r>
        <w:br/>
      </w:r>
      <w:r>
        <w:rPr>
          <w:rFonts w:ascii="Arial" w:hAnsi="Arial" w:cs="Arial" w:eastAsia="Arial"/>
          <w:color w:val="5A6478"/>
          <w:sz w:val="17"/>
          <w:szCs w:val="17"/>
        </w:rPr>
        <w:t>3. For the period from 30 September 2022 to 30 September 2023.</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US Fed has recently signaled to keep interest rates elevated for the time being, continuing with its campaign to control inflation. Despite the higher interest rate environment, many US businesses continue to invest in productive assets, suggesting healthy demand for equipment leasing finance.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Leasing and Finance Index (MLFI-25), which reports economic activity from twenty-five companies representing a cross section of the USD 1 trillion equipment finance sector, showed their overall new business volume for August 2023 was USD 10.1 billion, up 14.0% YoY from new business volume in August 2022.</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United Nations Conference on Trade and Development (UNCTAD), the global trade reached a record USD 32 trillion in 2022 trade in goods was about USD 25 trillion (an increase of about 10 % from 2021) and trade in services totaled ~USD 7 trillion (an increase of ~15% YoY).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record levels are largely due to robust growth in the first half of 2022, however due to deteriorating economic conditions and rising uncertainties, growth turned negative in H2 2022 and is expected to stagnate in 2023.</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trade finance gap has widened to USD 2.5 trillion (per recent ADB survey of September 2023), registering a 47% increase from its previous survey which had estimated the 2020 trade finance gap at USD 1.7 trillion. The gap now represents about 10% of global merchandise trade.</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Refinitiv, global Sukuk issuance exceeded market expectations reaching USD 193.9 billion in 2022 despite a record number of consecutive rate hikes during 2022. The year was the second highest year on record after reaching USD 196.5 billion in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Moody’s expects global Sukuk issuance to decline by 10% in 2023 due to lower volumes from major sovereign issuers as robust oil prices and sustained economic growth strengthen the fiscal balances.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further to the worst year in decades in global Sukuk markets in 2022, the Sukuk market has slightly recovered. The Dow Jones Sukuk Index (ex-reinvestment) gained 0.7% YTD, while S&amp;P GCC Sukuk Index was up 0.8% YTD.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4" name="Picture 9048"/>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 Prices as at 30 September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9"/>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0"/>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Q3 2023</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