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before="0" w:after="0" w:line="20" w:lineRule="exact"/>
        <w:rPr>
          <w:sz w:val="2"/>
          <w:szCs w:val="2"/>
        </w:rPr>
      </w:pPr>
      <w:r>
        <w:rPr>
          <w:sz w:val="2"/>
        </w:rPr>
        <w:drawing>
          <wp:anchor xmlns:a="http://schemas.openxmlformats.org/drawingml/2006/main" xmlns:pic="http://schemas.openxmlformats.org/drawingml/2006/picture" distT="0" distB="216000" distL="0" distR="0" simplePos="0" relativeHeight="2" behindDoc="0" locked="1" layoutInCell="1" allowOverlap="0">
            <wp:simplePos x="0" y="0"/>
            <wp:positionH relativeFrom="page">
              <wp:posOffset>0</wp:posOffset>
            </wp:positionH>
            <wp:positionV relativeFrom="page">
              <wp:posOffset>0</wp:posOffset>
            </wp:positionV>
            <wp:extent cx="7560000" cy="3132544"/>
            <wp:effectExtent l="0" t="0" r="0" b="0"/>
            <wp:wrapTopAndBottom/>
            <wp:docPr id="1" name="Banner 9027"/>
            <wp:cNvGraphicFramePr/>
            <a:graphic>
              <a:graphicData uri="http://schemas.openxmlformats.org/drawingml/2006/picture">
                <pic:pic>
                  <pic:nvPicPr>
                    <pic:cNvPr id="9027" name="banner9027.jpg"/>
                    <pic:cNvPicPr/>
                  </pic:nvPicPr>
                  <pic:blipFill>
                    <a:blip r:embed="rId13"/>
                    <a:stretch>
                      <a:fillRect/>
                    </a:stretch>
                  </pic:blipFill>
                  <pic:spPr>
                    <a:xfrm>
                      <a:off x="0" y="0"/>
                      <a:ext cx="7560000" cy="3132544"/>
                    </a:xfrm>
                    <a:prstGeom prst="rect">
                      <a:avLst/>
                    </a:prstGeom>
                  </pic:spPr>
                </pic:pic>
              </a:graphicData>
            </a:graphic>
          </wp:anchor>
        </w:drawing>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 name="Picture 9028"/>
            <wp:cNvGraphicFramePr>
              <a:graphicFrameLocks noChangeAspect="1"/>
            </wp:cNvGraphicFramePr>
            <a:graphic>
              <a:graphicData uri="http://schemas.openxmlformats.org/drawingml/2006/picture">
                <pic:pic>
                  <pic:nvPicPr>
                    <pic:cNvPr id="0" name="ico_f2e52b5aa522e94c0637246ef4ce1c1b.png"/>
                    <pic:cNvPicPr/>
                  </pic:nvPicPr>
                  <pic:blipFill>
                    <a:blip r:embed="rId14"/>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نبذة عامة عن الصندوق</w:t>
      </w:r>
    </w:p>
    <w:p>
      <w:pPr>
        <w:bidi w:val="1"/>
        <w:spacing w:before="0" w:after="80" w:line="312" w:lineRule="auto"/>
      </w:pPr>
      <w:r>
        <w:rPr>
          <w:rFonts w:ascii="Arial" w:hAnsi="Arial" w:cs="Arial" w:eastAsia="Arial"/>
          <w:color w:val="0E1E3A"/>
          <w:sz w:val="20"/>
          <w:szCs w:val="20"/>
          <w:rtl/>
        </w:rPr>
        <w:t>صندوق "الخبير للدخل المتنوع المتداول"(الصندوق) هو صندوق استثمار متداول، مغلق، متوافق مع ضوابط الهيئة الشرعية، وتم إنشاؤه بموجب الأنظمة واللوائح المعمول بها في المملكة العربية السعودية، ويخضع لرقابة وإشراف هيئة السوق المالية. ويتمثل الهدف الاستثماري للصندوق في تحقيق دخل دوري للمستثمرين من خلال الاستثمار في أصول مدّرة للدخل، متوافقة مع ضوابط الهيئة الشرعية؛ لتحقيق دخل دوري للصندوق. وينوي مدير الصندوق "الخبير المالية" الاستثمار في الصكوك، وصفقات التمويل التجاري، وصفقات الإجارة، وصناديق الدخل، وصفقات المرابحة، إما بشكل مباشر، أو من خلال صناديق استثمار.</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3" name="Picture 9029"/>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البيانات الأساسية للصندوق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رمز التداول</w:t>
            </w:r>
          </w:p>
        </w:tc>
        <w:tc>
          <w:tcPr>
            <w:tcW w:type="dxa" w:w="6860"/>
          </w:tcPr>
          <w:p>
            <w:pPr>
              <w:bidi w:val="1"/>
              <w:spacing w:before="0" w:after="0" w:line="276" w:lineRule="auto"/>
            </w:pPr>
            <w:r>
              <w:rPr>
                <w:rFonts w:ascii="Arial" w:hAnsi="Arial" w:cs="Arial" w:eastAsia="Arial"/>
                <w:b/>
                <w:bCs/>
                <w:color w:val="0E1E3A"/>
                <w:sz w:val="18"/>
                <w:szCs w:val="18"/>
                <w:rtl/>
              </w:rPr>
              <w:t>4700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رمز بلومبرغ</w:t>
            </w:r>
          </w:p>
        </w:tc>
        <w:tc>
          <w:tcPr>
            <w:tcW w:type="dxa" w:w="6860"/>
          </w:tcPr>
          <w:p>
            <w:pPr>
              <w:bidi w:val="1"/>
              <w:spacing w:before="0" w:after="0" w:line="276" w:lineRule="auto"/>
            </w:pPr>
            <w:r>
              <w:rPr>
                <w:rFonts w:ascii="Arial" w:hAnsi="Arial" w:cs="Arial" w:eastAsia="Arial"/>
                <w:b/>
                <w:bCs/>
                <w:color w:val="0E1E3A"/>
                <w:sz w:val="18"/>
                <w:szCs w:val="18"/>
                <w:rtl/>
              </w:rPr>
              <w:t>AKDICIF: AB</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نوع الصندوق</w:t>
            </w:r>
          </w:p>
        </w:tc>
        <w:tc>
          <w:tcPr>
            <w:tcW w:type="dxa" w:w="6860"/>
          </w:tcPr>
          <w:p>
            <w:pPr>
              <w:bidi w:val="1"/>
              <w:spacing w:before="0" w:after="0" w:line="276" w:lineRule="auto"/>
            </w:pPr>
            <w:r>
              <w:rPr>
                <w:rFonts w:ascii="Arial" w:hAnsi="Arial" w:cs="Arial" w:eastAsia="Arial"/>
                <w:b/>
                <w:bCs/>
                <w:color w:val="0E1E3A"/>
                <w:sz w:val="18"/>
                <w:szCs w:val="18"/>
                <w:rtl/>
              </w:rPr>
              <w:t>صندوق استثمار عام متداول مغلق</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تاريخ الإدراج</w:t>
            </w:r>
          </w:p>
        </w:tc>
        <w:tc>
          <w:tcPr>
            <w:tcW w:type="dxa" w:w="6860"/>
          </w:tcPr>
          <w:p>
            <w:pPr>
              <w:bidi w:val="1"/>
              <w:spacing w:before="0" w:after="0" w:line="276" w:lineRule="auto"/>
            </w:pPr>
            <w:r>
              <w:rPr>
                <w:rFonts w:ascii="Arial" w:hAnsi="Arial" w:cs="Arial" w:eastAsia="Arial"/>
                <w:b/>
                <w:bCs/>
                <w:color w:val="0E1E3A"/>
                <w:sz w:val="18"/>
                <w:szCs w:val="18"/>
                <w:rtl/>
              </w:rPr>
              <w:t>19 يناير 2021م</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مدة الصندوق</w:t>
            </w:r>
          </w:p>
        </w:tc>
        <w:tc>
          <w:tcPr>
            <w:tcW w:type="dxa" w:w="6860"/>
          </w:tcPr>
          <w:p>
            <w:pPr>
              <w:bidi w:val="1"/>
              <w:spacing w:before="0" w:after="0" w:line="276" w:lineRule="auto"/>
            </w:pPr>
            <w:r>
              <w:rPr>
                <w:rFonts w:ascii="Arial" w:hAnsi="Arial" w:cs="Arial" w:eastAsia="Arial"/>
                <w:b/>
                <w:bCs/>
                <w:color w:val="0E1E3A"/>
                <w:sz w:val="18"/>
                <w:szCs w:val="18"/>
                <w:rtl/>
              </w:rPr>
              <w:t>99 سنة تبدأ من تاريخ الإدراج، قابلة للتمديد</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صافي قيمة الوحدة</w:t>
            </w:r>
          </w:p>
        </w:tc>
        <w:tc>
          <w:tcPr>
            <w:tcW w:type="dxa" w:w="6860"/>
          </w:tcPr>
          <w:p>
            <w:pPr>
              <w:bidi w:val="1"/>
              <w:spacing w:before="0" w:after="0" w:line="276" w:lineRule="auto"/>
            </w:pPr>
            <w:r>
              <w:rPr>
                <w:rFonts w:ascii="Arial" w:hAnsi="Arial" w:cs="Arial" w:eastAsia="Arial"/>
                <w:b/>
                <w:bCs/>
                <w:color w:val="0E1E3A"/>
                <w:sz w:val="18"/>
                <w:szCs w:val="18"/>
                <w:rtl/>
              </w:rPr>
              <w:t>9.6216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حجم أصول الصندوق *</w:t>
            </w:r>
          </w:p>
        </w:tc>
        <w:tc>
          <w:tcPr>
            <w:tcW w:type="dxa" w:w="6860"/>
          </w:tcPr>
          <w:p>
            <w:pPr>
              <w:bidi w:val="1"/>
              <w:spacing w:before="0" w:after="0" w:line="276" w:lineRule="auto"/>
            </w:pPr>
            <w:r>
              <w:rPr>
                <w:rFonts w:ascii="Arial" w:hAnsi="Arial" w:cs="Arial" w:eastAsia="Arial"/>
                <w:b/>
                <w:bCs/>
                <w:color w:val="0E1E3A"/>
                <w:sz w:val="18"/>
                <w:szCs w:val="18"/>
                <w:rtl/>
              </w:rPr>
              <w:t>485,014,561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رأس مال الصندوق كما في تاريخ الإدراج</w:t>
            </w:r>
          </w:p>
        </w:tc>
        <w:tc>
          <w:tcPr>
            <w:tcW w:type="dxa" w:w="6860"/>
          </w:tcPr>
          <w:p>
            <w:pPr>
              <w:bidi w:val="1"/>
              <w:spacing w:before="0" w:after="0" w:line="276" w:lineRule="auto"/>
            </w:pPr>
            <w:r>
              <w:rPr>
                <w:rFonts w:ascii="Arial" w:hAnsi="Arial" w:cs="Arial" w:eastAsia="Arial"/>
                <w:b/>
                <w:bCs/>
                <w:color w:val="0E1E3A"/>
                <w:sz w:val="18"/>
                <w:szCs w:val="18"/>
                <w:rtl/>
              </w:rPr>
              <w:t>472,814,700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مبلغ التمويل *</w:t>
            </w:r>
          </w:p>
        </w:tc>
        <w:tc>
          <w:tcPr>
            <w:tcW w:type="dxa" w:w="6860"/>
          </w:tcPr>
          <w:p>
            <w:pPr>
              <w:bidi w:val="1"/>
              <w:spacing w:before="0" w:after="0" w:line="276" w:lineRule="auto"/>
            </w:pPr>
            <w:r>
              <w:rPr>
                <w:rFonts w:ascii="Arial" w:hAnsi="Arial" w:cs="Arial" w:eastAsia="Arial"/>
                <w:b/>
                <w:bCs/>
                <w:color w:val="0E1E3A"/>
                <w:sz w:val="18"/>
                <w:szCs w:val="18"/>
                <w:rtl/>
              </w:rPr>
              <w:t>27,957,672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الاقتراض من القيمة الإجمالية لأصول الصندوق *</w:t>
            </w:r>
          </w:p>
        </w:tc>
        <w:tc>
          <w:tcPr>
            <w:tcW w:type="dxa" w:w="6860"/>
          </w:tcPr>
          <w:p>
            <w:pPr>
              <w:bidi w:val="1"/>
              <w:spacing w:before="0" w:after="0" w:line="276" w:lineRule="auto"/>
            </w:pPr>
            <w:r>
              <w:rPr>
                <w:rFonts w:ascii="Arial" w:hAnsi="Arial" w:cs="Arial" w:eastAsia="Arial"/>
                <w:b/>
                <w:bCs/>
                <w:color w:val="0E1E3A"/>
                <w:sz w:val="18"/>
                <w:szCs w:val="18"/>
              </w:rPr>
              <w:t>‎5.76%‎</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الاقتراض من قيمة صافي أصول الصندوق في نهاية الربع المعني</w:t>
            </w:r>
          </w:p>
        </w:tc>
        <w:tc>
          <w:tcPr>
            <w:tcW w:type="dxa" w:w="6860"/>
          </w:tcPr>
          <w:p>
            <w:pPr>
              <w:bidi w:val="1"/>
              <w:spacing w:before="0" w:after="0" w:line="276" w:lineRule="auto"/>
            </w:pPr>
            <w:r>
              <w:rPr>
                <w:rFonts w:ascii="Arial" w:hAnsi="Arial" w:cs="Arial" w:eastAsia="Arial"/>
                <w:b/>
                <w:bCs/>
                <w:color w:val="0E1E3A"/>
                <w:sz w:val="18"/>
                <w:szCs w:val="18"/>
              </w:rPr>
              <w:t>‎6.15%‎</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قيمة استثمار مدير الصندوق من صافي قيمة أصول الصندوق في نهاية الربع المعني</w:t>
            </w:r>
          </w:p>
        </w:tc>
        <w:tc>
          <w:tcPr>
            <w:tcW w:type="dxa" w:w="6860"/>
          </w:tcPr>
          <w:p>
            <w:pPr>
              <w:bidi w:val="1"/>
              <w:spacing w:before="0" w:after="0" w:line="276" w:lineRule="auto"/>
            </w:pPr>
            <w:r>
              <w:rPr>
                <w:rFonts w:ascii="Arial" w:hAnsi="Arial" w:cs="Arial" w:eastAsia="Arial"/>
                <w:b/>
                <w:bCs/>
                <w:color w:val="0E1E3A"/>
                <w:sz w:val="18"/>
                <w:szCs w:val="18"/>
                <w:rtl/>
              </w:rPr>
              <w:t>0.00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استثمار مدير الصندوق من صافي قيمة أصول الصندوق في نهاية الربع المعني</w:t>
            </w:r>
          </w:p>
        </w:tc>
        <w:tc>
          <w:tcPr>
            <w:tcW w:type="dxa" w:w="6860"/>
          </w:tcPr>
          <w:p>
            <w:pPr>
              <w:bidi w:val="1"/>
              <w:spacing w:before="0" w:after="0" w:line="276" w:lineRule="auto"/>
            </w:pPr>
            <w:r>
              <w:rPr>
                <w:rFonts w:ascii="Arial" w:hAnsi="Arial" w:cs="Arial" w:eastAsia="Arial"/>
                <w:b/>
                <w:bCs/>
                <w:color w:val="0E1E3A"/>
                <w:sz w:val="18"/>
                <w:szCs w:val="18"/>
              </w:rPr>
              <w:t>‎0%‎</w:t>
            </w:r>
            <w:r>
              <w:rPr>
                <w:rFonts w:ascii="Arial" w:hAnsi="Arial" w:cs="Arial" w:eastAsia="Arial"/>
                <w:b/>
                <w:bCs/>
                <w:color w:val="0E1E3A"/>
                <w:sz w:val="18"/>
                <w:szCs w:val="18"/>
                <w:rtl/>
              </w:rPr>
              <w:t>. 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مستوى المخاطر</w:t>
            </w:r>
          </w:p>
        </w:tc>
        <w:tc>
          <w:tcPr>
            <w:tcW w:type="dxa" w:w="6860"/>
          </w:tcPr>
          <w:p>
            <w:pPr>
              <w:bidi w:val="1"/>
              <w:spacing w:before="0" w:after="0" w:line="276" w:lineRule="auto"/>
            </w:pPr>
            <w:r>
              <w:rPr>
                <w:rFonts w:ascii="Arial" w:hAnsi="Arial" w:cs="Arial" w:eastAsia="Arial"/>
                <w:b/>
                <w:bCs/>
                <w:color w:val="0E1E3A"/>
                <w:sz w:val="18"/>
                <w:szCs w:val="18"/>
                <w:rtl/>
              </w:rPr>
              <w:t>مرتفع</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عملة الصندوق</w:t>
            </w:r>
          </w:p>
        </w:tc>
        <w:tc>
          <w:tcPr>
            <w:tcW w:type="dxa" w:w="6860"/>
          </w:tcPr>
          <w:p>
            <w:pPr>
              <w:bidi w:val="1"/>
              <w:spacing w:before="0" w:after="0" w:line="276" w:lineRule="auto"/>
            </w:pPr>
            <w:r>
              <w:rPr>
                <w:rFonts w:ascii="Arial" w:hAnsi="Arial" w:cs="Arial" w:eastAsia="Arial"/>
                <w:b/>
                <w:bCs/>
                <w:color w:val="0E1E3A"/>
                <w:sz w:val="18"/>
                <w:szCs w:val="18"/>
                <w:rtl/>
              </w:rPr>
              <w:t>ريال سعودي</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مستشار الاستثمار ومدير الصندوق من الباطن</w:t>
            </w:r>
          </w:p>
        </w:tc>
        <w:tc>
          <w:tcPr>
            <w:tcW w:type="dxa" w:w="6860"/>
          </w:tcPr>
          <w:p>
            <w:pPr>
              <w:bidi w:val="1"/>
              <w:spacing w:before="0" w:after="0" w:line="276" w:lineRule="auto"/>
            </w:pPr>
            <w:r>
              <w:rPr>
                <w:rFonts w:ascii="Arial" w:hAnsi="Arial" w:cs="Arial" w:eastAsia="Arial"/>
                <w:b/>
                <w:bCs/>
                <w:color w:val="0E1E3A"/>
                <w:sz w:val="18"/>
                <w:szCs w:val="18"/>
                <w:rtl/>
              </w:rPr>
              <w:t>لا يوجد</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رسوم الإدارة للصناديق المستثمر فيها</w:t>
            </w:r>
          </w:p>
        </w:tc>
        <w:tc>
          <w:tcPr>
            <w:tcW w:type="dxa" w:w="6860"/>
          </w:tcPr>
          <w:p>
            <w:pPr>
              <w:bidi w:val="1"/>
              <w:spacing w:before="0" w:after="0" w:line="276" w:lineRule="auto"/>
            </w:pPr>
            <w:r>
              <w:rPr>
                <w:rFonts w:ascii="Arial" w:hAnsi="Arial" w:cs="Arial" w:eastAsia="Arial"/>
                <w:b/>
                <w:bCs/>
                <w:color w:val="0E1E3A"/>
                <w:sz w:val="18"/>
                <w:szCs w:val="18"/>
              </w:rPr>
              <w:t>‎0.35%‎</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عدد أيام المتوسط المرجح</w:t>
            </w:r>
          </w:p>
        </w:tc>
        <w:tc>
          <w:tcPr>
            <w:tcW w:type="dxa" w:w="6860"/>
          </w:tcPr>
          <w:p>
            <w:pPr>
              <w:bidi w:val="1"/>
              <w:spacing w:before="0" w:after="0" w:line="276" w:lineRule="auto"/>
            </w:pPr>
            <w:r>
              <w:rPr>
                <w:rFonts w:ascii="Arial" w:hAnsi="Arial" w:cs="Arial" w:eastAsia="Arial"/>
                <w:b/>
                <w:bCs/>
                <w:color w:val="0E1E3A"/>
                <w:sz w:val="18"/>
                <w:szCs w:val="18"/>
                <w:rtl/>
              </w:rPr>
              <w:t>92 يومًا</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كما في تاريخ 30 سبتمبر 2024م (غير مدققة).</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4" name="Picture 9030"/>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نسب تركز الاستثمارات في محفظة الصندوق*</w:t>
      </w:r>
    </w:p>
    <w:p>
      <w:pPr>
        <w:bidi w:val="1"/>
        <w:spacing w:before="0" w:after="80" w:line="240" w:lineRule="auto"/>
        <w:jc w:val="center"/>
      </w:pPr>
      <w:r>
        <w:drawing>
          <wp:inline xmlns:a="http://schemas.openxmlformats.org/drawingml/2006/main" xmlns:pic="http://schemas.openxmlformats.org/drawingml/2006/picture">
            <wp:extent cx="6336000" cy="1883676"/>
            <wp:docPr id="5" name="Picture 9031"/>
            <wp:cNvGraphicFramePr>
              <a:graphicFrameLocks noChangeAspect="1"/>
            </wp:cNvGraphicFramePr>
            <a:graphic>
              <a:graphicData uri="http://schemas.openxmlformats.org/drawingml/2006/picture">
                <pic:pic>
                  <pic:nvPicPr>
                    <pic:cNvPr id="0" name="x2.j.jpg"/>
                    <pic:cNvPicPr/>
                  </pic:nvPicPr>
                  <pic:blipFill>
                    <a:blip r:embed="rId16"/>
                    <a:stretch>
                      <a:fillRect/>
                    </a:stretch>
                  </pic:blipFill>
                  <pic:spPr>
                    <a:xfrm>
                      <a:off x="0" y="0"/>
                      <a:ext cx="6336000" cy="1883676"/>
                    </a:xfrm>
                    <a:prstGeom prst="rect"/>
                  </pic:spPr>
                </pic:pic>
              </a:graphicData>
            </a:graphic>
          </wp:inline>
        </w:drawing>
      </w:r>
    </w:p>
    <w:p>
      <w:pPr>
        <w:bidi w:val="1"/>
        <w:spacing w:before="0" w:after="80" w:line="312" w:lineRule="auto"/>
      </w:pPr>
      <w:r>
        <w:rPr>
          <w:rFonts w:ascii="Arial" w:hAnsi="Arial" w:cs="Arial" w:eastAsia="Arial"/>
          <w:color w:val="5A6478"/>
          <w:sz w:val="17"/>
          <w:szCs w:val="17"/>
          <w:rtl/>
        </w:rPr>
        <w:t>* متوسط مدة استثمارات الصندوق 2.7 سنة.</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6" name="Picture 9032"/>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المؤشرات المالية*</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فترات التقييم</w:t>
            </w:r>
          </w:p>
        </w:tc>
        <w:tc>
          <w:tcPr>
            <w:tcW w:type="dxa" w:w="6860"/>
          </w:tcPr>
          <w:p>
            <w:pPr>
              <w:bidi w:val="1"/>
              <w:spacing w:before="0" w:after="0" w:line="276" w:lineRule="auto"/>
            </w:pPr>
            <w:r>
              <w:rPr>
                <w:rFonts w:ascii="Arial" w:hAnsi="Arial" w:cs="Arial" w:eastAsia="Arial"/>
                <w:b/>
                <w:bCs/>
                <w:color w:val="0E1E3A"/>
                <w:sz w:val="18"/>
                <w:szCs w:val="18"/>
                <w:rtl/>
              </w:rPr>
              <w:t>ربع سنوي</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القيمة الإجمالية لأصول الصندوق *</w:t>
            </w:r>
          </w:p>
        </w:tc>
        <w:tc>
          <w:tcPr>
            <w:tcW w:type="dxa" w:w="6860"/>
          </w:tcPr>
          <w:p>
            <w:pPr>
              <w:bidi w:val="1"/>
              <w:spacing w:before="0" w:after="0" w:line="276" w:lineRule="auto"/>
            </w:pPr>
            <w:r>
              <w:rPr>
                <w:rFonts w:ascii="Arial" w:hAnsi="Arial" w:cs="Arial" w:eastAsia="Arial"/>
                <w:b/>
                <w:bCs/>
                <w:color w:val="0E1E3A"/>
                <w:sz w:val="18"/>
                <w:szCs w:val="18"/>
                <w:rtl/>
              </w:rPr>
              <w:t>485,014,561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صافي قيمة أصول وحدات الصندوق *</w:t>
            </w:r>
          </w:p>
        </w:tc>
        <w:tc>
          <w:tcPr>
            <w:tcW w:type="dxa" w:w="6860"/>
          </w:tcPr>
          <w:p>
            <w:pPr>
              <w:bidi w:val="1"/>
              <w:spacing w:before="0" w:after="0" w:line="276" w:lineRule="auto"/>
            </w:pPr>
            <w:r>
              <w:rPr>
                <w:rFonts w:ascii="Arial" w:hAnsi="Arial" w:cs="Arial" w:eastAsia="Arial"/>
                <w:b/>
                <w:bCs/>
                <w:color w:val="0E1E3A"/>
                <w:sz w:val="18"/>
                <w:szCs w:val="18"/>
                <w:rtl/>
              </w:rPr>
              <w:t>454,921,342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مبلغ مصاريف التعامل للربع المعني إلى متوسط صافي قيمة أصول الصندوق</w:t>
            </w:r>
          </w:p>
        </w:tc>
        <w:tc>
          <w:tcPr>
            <w:tcW w:type="dxa" w:w="6860"/>
          </w:tcPr>
          <w:p>
            <w:pPr>
              <w:bidi w:val="1"/>
              <w:spacing w:before="0" w:after="0" w:line="276" w:lineRule="auto"/>
            </w:pPr>
            <w:r>
              <w:rPr>
                <w:rFonts w:ascii="Arial" w:hAnsi="Arial" w:cs="Arial" w:eastAsia="Arial"/>
                <w:b/>
                <w:bCs/>
                <w:color w:val="0E1E3A"/>
                <w:sz w:val="18"/>
                <w:szCs w:val="18"/>
                <w:rtl/>
              </w:rPr>
              <w:t>لا يوجد</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مصاريف التعامل للربع المعني إلى متوسط صافي قيمة أصول الصندوق</w:t>
            </w:r>
          </w:p>
        </w:tc>
        <w:tc>
          <w:tcPr>
            <w:tcW w:type="dxa" w:w="6860"/>
          </w:tcPr>
          <w:p>
            <w:pPr>
              <w:bidi w:val="1"/>
              <w:spacing w:before="0" w:after="0" w:line="276" w:lineRule="auto"/>
            </w:pPr>
            <w:r>
              <w:rPr>
                <w:rFonts w:ascii="Arial" w:hAnsi="Arial" w:cs="Arial" w:eastAsia="Arial"/>
                <w:b/>
                <w:bCs/>
                <w:color w:val="0E1E3A"/>
                <w:sz w:val="18"/>
                <w:szCs w:val="18"/>
              </w:rPr>
              <w:t>‎0.00%‎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مصروفات الصفقات للربع المعني إلى متوسط صافي قيمة أصول الصندوق</w:t>
            </w:r>
          </w:p>
        </w:tc>
        <w:tc>
          <w:tcPr>
            <w:tcW w:type="dxa" w:w="6860"/>
          </w:tcPr>
          <w:p>
            <w:pPr>
              <w:bidi w:val="1"/>
              <w:spacing w:before="0" w:after="0" w:line="276" w:lineRule="auto"/>
            </w:pPr>
            <w:r>
              <w:rPr>
                <w:rFonts w:ascii="Arial" w:hAnsi="Arial" w:cs="Arial" w:eastAsia="Arial"/>
                <w:b/>
                <w:bCs/>
                <w:color w:val="0E1E3A"/>
                <w:sz w:val="18"/>
                <w:szCs w:val="18"/>
              </w:rPr>
              <w:t>‎0.00%‎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مصروفات وأتعاب الصندوق إلى القيمة الإجمالية لأصول الصندوق **</w:t>
            </w:r>
          </w:p>
        </w:tc>
        <w:tc>
          <w:tcPr>
            <w:tcW w:type="dxa" w:w="6860"/>
          </w:tcPr>
          <w:p>
            <w:pPr>
              <w:bidi w:val="1"/>
              <w:spacing w:before="0" w:after="0" w:line="276" w:lineRule="auto"/>
            </w:pPr>
            <w:r>
              <w:rPr>
                <w:rFonts w:ascii="Arial" w:hAnsi="Arial" w:cs="Arial" w:eastAsia="Arial"/>
                <w:b/>
                <w:bCs/>
                <w:color w:val="0E1E3A"/>
                <w:sz w:val="18"/>
                <w:szCs w:val="18"/>
              </w:rPr>
              <w:t>‎0.50%‎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إجمالي تكاليف الصندوق إلى القيمة الإجمالية لأصول الصندوق ***</w:t>
            </w:r>
          </w:p>
        </w:tc>
        <w:tc>
          <w:tcPr>
            <w:tcW w:type="dxa" w:w="6860"/>
          </w:tcPr>
          <w:p>
            <w:pPr>
              <w:bidi w:val="1"/>
              <w:spacing w:before="0" w:after="0" w:line="276" w:lineRule="auto"/>
            </w:pPr>
            <w:r>
              <w:rPr>
                <w:rFonts w:ascii="Arial" w:hAnsi="Arial" w:cs="Arial" w:eastAsia="Arial"/>
                <w:b/>
                <w:bCs/>
                <w:color w:val="0E1E3A"/>
                <w:sz w:val="18"/>
                <w:szCs w:val="18"/>
              </w:rPr>
              <w:t>‎0.60%‎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إجمالي تكاليف / أتعاب الصندوق إلى متوسط صافي أصول الصندوق ****</w:t>
            </w:r>
          </w:p>
        </w:tc>
        <w:tc>
          <w:tcPr>
            <w:tcW w:type="dxa" w:w="6860"/>
          </w:tcPr>
          <w:p>
            <w:pPr>
              <w:bidi w:val="1"/>
              <w:spacing w:before="0" w:after="0" w:line="276" w:lineRule="auto"/>
            </w:pPr>
            <w:r>
              <w:rPr>
                <w:rFonts w:ascii="Arial" w:hAnsi="Arial" w:cs="Arial" w:eastAsia="Arial"/>
                <w:b/>
                <w:bCs/>
                <w:color w:val="0E1E3A"/>
                <w:sz w:val="18"/>
                <w:szCs w:val="18"/>
              </w:rPr>
              <w:t>‎0.63%‎</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تكاليف الصندوق للربع المعني</w:t>
            </w:r>
          </w:p>
        </w:tc>
        <w:tc>
          <w:tcPr>
            <w:tcW w:type="dxa" w:w="6860"/>
          </w:tcPr>
          <w:p>
            <w:pPr>
              <w:bidi w:val="1"/>
              <w:spacing w:before="0" w:after="0" w:line="276" w:lineRule="auto"/>
            </w:pPr>
            <w:r>
              <w:rPr>
                <w:rFonts w:ascii="Arial" w:hAnsi="Arial" w:cs="Arial" w:eastAsia="Arial"/>
                <w:b/>
                <w:bCs/>
                <w:color w:val="0E1E3A"/>
                <w:sz w:val="18"/>
                <w:szCs w:val="18"/>
                <w:rtl/>
              </w:rPr>
              <w:t>2,889,117 ر.س.</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كما في تاريخ 30 سبتمبر 2024م (غير مدققة).</w:t>
      </w:r>
      <w:r>
        <w:br/>
      </w:r>
      <w:r>
        <w:rPr>
          <w:rFonts w:ascii="Arial" w:hAnsi="Arial" w:cs="Arial" w:eastAsia="Arial"/>
          <w:color w:val="5A6478"/>
          <w:sz w:val="17"/>
          <w:szCs w:val="17"/>
          <w:rtl/>
        </w:rPr>
        <w:t>** مصروفات وأتعاب الصندوق هي كافة مصروفات الصندوق خلال الربع المعني ما عدا تكلفة التمويل.</w:t>
      </w:r>
      <w:r>
        <w:br/>
      </w:r>
      <w:r>
        <w:rPr>
          <w:rFonts w:ascii="Arial" w:hAnsi="Arial" w:cs="Arial" w:eastAsia="Arial"/>
          <w:color w:val="5A6478"/>
          <w:sz w:val="17"/>
          <w:szCs w:val="17"/>
          <w:rtl/>
        </w:rPr>
        <w:t>*** إجمالي تكاليف الصندوق هي كافة أتعاب ومصروفات الصندوق متضمنة تكاليف التمويل.</w:t>
      </w:r>
      <w:r>
        <w:br/>
      </w:r>
      <w:r>
        <w:rPr>
          <w:rFonts w:ascii="Arial" w:hAnsi="Arial" w:cs="Arial" w:eastAsia="Arial"/>
          <w:color w:val="5A6478"/>
          <w:sz w:val="17"/>
          <w:szCs w:val="17"/>
          <w:rtl/>
        </w:rPr>
        <w:t>**** متوسط صافي قيمة أصول الصندوق للفترة المعنية = 457,067,631 ر.س.</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7" name="Picture 9033"/>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توزيع الاستثمارات حسب الموقع الجغرافي</w:t>
      </w:r>
    </w:p>
    <w:p>
      <w:pPr>
        <w:bidi w:val="1"/>
        <w:spacing w:before="0" w:after="80" w:line="240" w:lineRule="auto"/>
        <w:jc w:val="center"/>
      </w:pPr>
      <w:r>
        <w:drawing>
          <wp:inline xmlns:a="http://schemas.openxmlformats.org/drawingml/2006/main" xmlns:pic="http://schemas.openxmlformats.org/drawingml/2006/picture">
            <wp:extent cx="6336000" cy="1883676"/>
            <wp:docPr id="8" name="Picture 9034"/>
            <wp:cNvGraphicFramePr>
              <a:graphicFrameLocks noChangeAspect="1"/>
            </wp:cNvGraphicFramePr>
            <a:graphic>
              <a:graphicData uri="http://schemas.openxmlformats.org/drawingml/2006/picture">
                <pic:pic>
                  <pic:nvPicPr>
                    <pic:cNvPr id="0" name="x3.j.jpg"/>
                    <pic:cNvPicPr/>
                  </pic:nvPicPr>
                  <pic:blipFill>
                    <a:blip r:embed="rId17"/>
                    <a:stretch>
                      <a:fillRect/>
                    </a:stretch>
                  </pic:blipFill>
                  <pic:spPr>
                    <a:xfrm>
                      <a:off x="0" y="0"/>
                      <a:ext cx="6336000" cy="1883676"/>
                    </a:xfrm>
                    <a:prstGeom prst="rect"/>
                  </pic:spPr>
                </pic:pic>
              </a:graphicData>
            </a:graphic>
          </wp:inline>
        </w:drawing>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9" name="Picture 9035"/>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أكبر 10 استثمارات بالصندوق</w:t>
      </w:r>
    </w:p>
    <w:p>
      <w:pPr>
        <w:bidi w:val="1"/>
        <w:spacing w:before="0" w:after="80" w:line="240" w:lineRule="auto"/>
        <w:jc w:val="center"/>
      </w:pPr>
      <w:r>
        <w:drawing>
          <wp:inline xmlns:a="http://schemas.openxmlformats.org/drawingml/2006/main" xmlns:pic="http://schemas.openxmlformats.org/drawingml/2006/picture">
            <wp:extent cx="6336000" cy="2911135"/>
            <wp:docPr id="10" name="Picture 9036"/>
            <wp:cNvGraphicFramePr>
              <a:graphicFrameLocks noChangeAspect="1"/>
            </wp:cNvGraphicFramePr>
            <a:graphic>
              <a:graphicData uri="http://schemas.openxmlformats.org/drawingml/2006/picture">
                <pic:pic>
                  <pic:nvPicPr>
                    <pic:cNvPr id="0" name="x4.j.jpg"/>
                    <pic:cNvPicPr/>
                  </pic:nvPicPr>
                  <pic:blipFill>
                    <a:blip r:embed="rId18"/>
                    <a:stretch>
                      <a:fillRect/>
                    </a:stretch>
                  </pic:blipFill>
                  <pic:spPr>
                    <a:xfrm>
                      <a:off x="0" y="0"/>
                      <a:ext cx="6336000" cy="2911135"/>
                    </a:xfrm>
                    <a:prstGeom prst="rect"/>
                  </pic:spPr>
                </pic:pic>
              </a:graphicData>
            </a:graphic>
          </wp:inline>
        </w:drawing>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1" name="Picture 9037"/>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بيانات أصول الصندوق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قيمة محفظة التمويل التجاري</w:t>
            </w:r>
          </w:p>
        </w:tc>
        <w:tc>
          <w:tcPr>
            <w:tcW w:type="dxa" w:w="6860"/>
          </w:tcPr>
          <w:p>
            <w:pPr>
              <w:bidi w:val="1"/>
              <w:spacing w:before="0" w:after="0" w:line="276" w:lineRule="auto"/>
            </w:pPr>
            <w:r>
              <w:rPr>
                <w:rFonts w:ascii="Arial" w:hAnsi="Arial" w:cs="Arial" w:eastAsia="Arial"/>
                <w:b/>
                <w:bCs/>
                <w:color w:val="0E1E3A"/>
                <w:sz w:val="18"/>
                <w:szCs w:val="18"/>
                <w:rtl/>
              </w:rPr>
              <w:t>147,662 751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قيمة محفظة الإجارة</w:t>
            </w:r>
          </w:p>
        </w:tc>
        <w:tc>
          <w:tcPr>
            <w:tcW w:type="dxa" w:w="6860"/>
          </w:tcPr>
          <w:p>
            <w:pPr>
              <w:bidi w:val="1"/>
              <w:spacing w:before="0" w:after="0" w:line="276" w:lineRule="auto"/>
            </w:pPr>
            <w:r>
              <w:rPr>
                <w:rFonts w:ascii="Arial" w:hAnsi="Arial" w:cs="Arial" w:eastAsia="Arial"/>
                <w:b/>
                <w:bCs/>
                <w:color w:val="0E1E3A"/>
                <w:sz w:val="18"/>
                <w:szCs w:val="18"/>
                <w:rtl/>
              </w:rPr>
              <w:t>181,787,793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قيمة محفظة الصكوك</w:t>
            </w:r>
          </w:p>
        </w:tc>
        <w:tc>
          <w:tcPr>
            <w:tcW w:type="dxa" w:w="6860"/>
          </w:tcPr>
          <w:p>
            <w:pPr>
              <w:bidi w:val="1"/>
              <w:spacing w:before="0" w:after="0" w:line="276" w:lineRule="auto"/>
            </w:pPr>
            <w:r>
              <w:rPr>
                <w:rFonts w:ascii="Arial" w:hAnsi="Arial" w:cs="Arial" w:eastAsia="Arial"/>
                <w:b/>
                <w:bCs/>
                <w:color w:val="0E1E3A"/>
                <w:sz w:val="18"/>
                <w:szCs w:val="18"/>
                <w:rtl/>
              </w:rPr>
              <w:t>33,119,830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قيمة محفظة صناديق الدخل</w:t>
            </w:r>
          </w:p>
        </w:tc>
        <w:tc>
          <w:tcPr>
            <w:tcW w:type="dxa" w:w="6860"/>
          </w:tcPr>
          <w:p>
            <w:pPr>
              <w:bidi w:val="1"/>
              <w:spacing w:before="0" w:after="0" w:line="276" w:lineRule="auto"/>
            </w:pPr>
            <w:r>
              <w:rPr>
                <w:rFonts w:ascii="Arial" w:hAnsi="Arial" w:cs="Arial" w:eastAsia="Arial"/>
                <w:b/>
                <w:bCs/>
                <w:color w:val="0E1E3A"/>
                <w:sz w:val="18"/>
                <w:szCs w:val="18"/>
                <w:rtl/>
              </w:rPr>
              <w:t>109,976,629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النقد وما في حكمه</w:t>
            </w:r>
          </w:p>
        </w:tc>
        <w:tc>
          <w:tcPr>
            <w:tcW w:type="dxa" w:w="6860"/>
          </w:tcPr>
          <w:p>
            <w:pPr>
              <w:bidi w:val="1"/>
              <w:spacing w:before="0" w:after="0" w:line="276" w:lineRule="auto"/>
            </w:pPr>
            <w:r>
              <w:rPr>
                <w:rFonts w:ascii="Arial" w:hAnsi="Arial" w:cs="Arial" w:eastAsia="Arial"/>
                <w:b/>
                <w:bCs/>
                <w:color w:val="0E1E3A"/>
                <w:sz w:val="18"/>
                <w:szCs w:val="18"/>
                <w:rtl/>
              </w:rPr>
              <w:t>12,467,558 ر.س.</w:t>
            </w:r>
          </w:p>
        </w:tc>
      </w:tr>
    </w:tbl>
    <w:p>
      <w:pPr>
        <w:bidi w:val="1"/>
        <w:spacing w:before="0" w:after="40" w:line="300" w:lineRule="auto"/>
      </w:pP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2" name="Picture 9038"/>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أداء صافي قيمة الأصول وسعر الوحدة</w:t>
      </w:r>
    </w:p>
    <w:p>
      <w:pPr>
        <w:bidi w:val="1"/>
        <w:spacing w:before="0" w:after="80" w:line="240" w:lineRule="auto"/>
        <w:jc w:val="center"/>
      </w:pPr>
      <w:r>
        <w:drawing>
          <wp:inline xmlns:a="http://schemas.openxmlformats.org/drawingml/2006/main" xmlns:pic="http://schemas.openxmlformats.org/drawingml/2006/picture">
            <wp:extent cx="6336000" cy="3091892"/>
            <wp:docPr id="13" name="Picture 9039"/>
            <wp:cNvGraphicFramePr>
              <a:graphicFrameLocks noChangeAspect="1"/>
            </wp:cNvGraphicFramePr>
            <a:graphic>
              <a:graphicData uri="http://schemas.openxmlformats.org/drawingml/2006/picture">
                <pic:pic>
                  <pic:nvPicPr>
                    <pic:cNvPr id="0" name="x5.j.jpg"/>
                    <pic:cNvPicPr/>
                  </pic:nvPicPr>
                  <pic:blipFill>
                    <a:blip r:embed="rId19"/>
                    <a:stretch>
                      <a:fillRect/>
                    </a:stretch>
                  </pic:blipFill>
                  <pic:spPr>
                    <a:xfrm>
                      <a:off x="0" y="0"/>
                      <a:ext cx="6336000" cy="3091892"/>
                    </a:xfrm>
                    <a:prstGeom prst="rect"/>
                  </pic:spPr>
                </pic:pic>
              </a:graphicData>
            </a:graphic>
          </wp:inline>
        </w:drawing>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4" name="Picture 9040"/>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بيانات القيمة السوقية للصندوق*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الإدراج</w:t>
            </w:r>
          </w:p>
        </w:tc>
        <w:tc>
          <w:tcPr>
            <w:tcW w:type="dxa" w:w="6860"/>
          </w:tcPr>
          <w:p>
            <w:pPr>
              <w:bidi w:val="1"/>
              <w:spacing w:before="0" w:after="0" w:line="276" w:lineRule="auto"/>
            </w:pPr>
            <w:r>
              <w:rPr>
                <w:rFonts w:ascii="Arial" w:hAnsi="Arial" w:cs="Arial" w:eastAsia="Arial"/>
                <w:b/>
                <w:bCs/>
                <w:color w:val="0E1E3A"/>
                <w:sz w:val="18"/>
                <w:szCs w:val="18"/>
                <w:rtl/>
              </w:rPr>
              <w:t>472,814,700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31 مارس 2021م</w:t>
            </w:r>
          </w:p>
        </w:tc>
        <w:tc>
          <w:tcPr>
            <w:tcW w:type="dxa" w:w="6860"/>
          </w:tcPr>
          <w:p>
            <w:pPr>
              <w:bidi w:val="1"/>
              <w:spacing w:before="0" w:after="0" w:line="276" w:lineRule="auto"/>
            </w:pPr>
            <w:r>
              <w:rPr>
                <w:rFonts w:ascii="Arial" w:hAnsi="Arial" w:cs="Arial" w:eastAsia="Arial"/>
                <w:b/>
                <w:bCs/>
                <w:color w:val="0E1E3A"/>
                <w:sz w:val="18"/>
                <w:szCs w:val="18"/>
                <w:rtl/>
              </w:rPr>
              <w:t>428,370,118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30 يونيو 2021م</w:t>
            </w:r>
          </w:p>
        </w:tc>
        <w:tc>
          <w:tcPr>
            <w:tcW w:type="dxa" w:w="6860"/>
          </w:tcPr>
          <w:p>
            <w:pPr>
              <w:bidi w:val="1"/>
              <w:spacing w:before="0" w:after="0" w:line="276" w:lineRule="auto"/>
            </w:pPr>
            <w:r>
              <w:rPr>
                <w:rFonts w:ascii="Arial" w:hAnsi="Arial" w:cs="Arial" w:eastAsia="Arial"/>
                <w:b/>
                <w:bCs/>
                <w:color w:val="0E1E3A"/>
                <w:sz w:val="18"/>
                <w:szCs w:val="18"/>
                <w:rtl/>
              </w:rPr>
              <w:t>433,098,265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30 سبتمبر 2021م</w:t>
            </w:r>
          </w:p>
        </w:tc>
        <w:tc>
          <w:tcPr>
            <w:tcW w:type="dxa" w:w="6860"/>
          </w:tcPr>
          <w:p>
            <w:pPr>
              <w:bidi w:val="1"/>
              <w:spacing w:before="0" w:after="0" w:line="276" w:lineRule="auto"/>
            </w:pPr>
            <w:r>
              <w:rPr>
                <w:rFonts w:ascii="Arial" w:hAnsi="Arial" w:cs="Arial" w:eastAsia="Arial"/>
                <w:b/>
                <w:bCs/>
                <w:color w:val="0E1E3A"/>
                <w:sz w:val="18"/>
                <w:szCs w:val="18"/>
                <w:rtl/>
              </w:rPr>
              <w:t>427,897,304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31 ديسمبر 2021م</w:t>
            </w:r>
          </w:p>
        </w:tc>
        <w:tc>
          <w:tcPr>
            <w:tcW w:type="dxa" w:w="6860"/>
          </w:tcPr>
          <w:p>
            <w:pPr>
              <w:bidi w:val="1"/>
              <w:spacing w:before="0" w:after="0" w:line="276" w:lineRule="auto"/>
            </w:pPr>
            <w:r>
              <w:rPr>
                <w:rFonts w:ascii="Arial" w:hAnsi="Arial" w:cs="Arial" w:eastAsia="Arial"/>
                <w:b/>
                <w:bCs/>
                <w:color w:val="0E1E3A"/>
                <w:sz w:val="18"/>
                <w:szCs w:val="18"/>
                <w:rtl/>
              </w:rPr>
              <w:t>409,930,345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31 مارس 2022م</w:t>
            </w:r>
          </w:p>
        </w:tc>
        <w:tc>
          <w:tcPr>
            <w:tcW w:type="dxa" w:w="6860"/>
          </w:tcPr>
          <w:p>
            <w:pPr>
              <w:bidi w:val="1"/>
              <w:spacing w:before="0" w:after="0" w:line="276" w:lineRule="auto"/>
            </w:pPr>
            <w:r>
              <w:rPr>
                <w:rFonts w:ascii="Arial" w:hAnsi="Arial" w:cs="Arial" w:eastAsia="Arial"/>
                <w:b/>
                <w:bCs/>
                <w:color w:val="0E1E3A"/>
                <w:sz w:val="18"/>
                <w:szCs w:val="18"/>
                <w:rtl/>
              </w:rPr>
              <w:t>402,838,124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30 يونيو 2022م</w:t>
            </w:r>
          </w:p>
        </w:tc>
        <w:tc>
          <w:tcPr>
            <w:tcW w:type="dxa" w:w="6860"/>
          </w:tcPr>
          <w:p>
            <w:pPr>
              <w:bidi w:val="1"/>
              <w:spacing w:before="0" w:after="0" w:line="276" w:lineRule="auto"/>
            </w:pPr>
            <w:r>
              <w:rPr>
                <w:rFonts w:ascii="Arial" w:hAnsi="Arial" w:cs="Arial" w:eastAsia="Arial"/>
                <w:b/>
                <w:bCs/>
                <w:color w:val="0E1E3A"/>
                <w:sz w:val="18"/>
                <w:szCs w:val="18"/>
                <w:rtl/>
              </w:rPr>
              <w:t>342,317,843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30 سبتمبر 2022م</w:t>
            </w:r>
          </w:p>
        </w:tc>
        <w:tc>
          <w:tcPr>
            <w:tcW w:type="dxa" w:w="6860"/>
          </w:tcPr>
          <w:p>
            <w:pPr>
              <w:bidi w:val="1"/>
              <w:spacing w:before="0" w:after="0" w:line="276" w:lineRule="auto"/>
            </w:pPr>
            <w:r>
              <w:rPr>
                <w:rFonts w:ascii="Arial" w:hAnsi="Arial" w:cs="Arial" w:eastAsia="Arial"/>
                <w:b/>
                <w:bCs/>
                <w:color w:val="0E1E3A"/>
                <w:sz w:val="18"/>
                <w:szCs w:val="18"/>
                <w:rtl/>
              </w:rPr>
              <w:t>339,480,955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31 ديسمبر 2022م</w:t>
            </w:r>
          </w:p>
        </w:tc>
        <w:tc>
          <w:tcPr>
            <w:tcW w:type="dxa" w:w="6860"/>
          </w:tcPr>
          <w:p>
            <w:pPr>
              <w:bidi w:val="1"/>
              <w:spacing w:before="0" w:after="0" w:line="276" w:lineRule="auto"/>
            </w:pPr>
            <w:r>
              <w:rPr>
                <w:rFonts w:ascii="Arial" w:hAnsi="Arial" w:cs="Arial" w:eastAsia="Arial"/>
                <w:b/>
                <w:bCs/>
                <w:color w:val="0E1E3A"/>
                <w:sz w:val="18"/>
                <w:szCs w:val="18"/>
                <w:rtl/>
              </w:rPr>
              <w:t>281,324,747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31 مارس 2023م</w:t>
            </w:r>
          </w:p>
        </w:tc>
        <w:tc>
          <w:tcPr>
            <w:tcW w:type="dxa" w:w="6860"/>
          </w:tcPr>
          <w:p>
            <w:pPr>
              <w:bidi w:val="1"/>
              <w:spacing w:before="0" w:after="0" w:line="276" w:lineRule="auto"/>
            </w:pPr>
            <w:r>
              <w:rPr>
                <w:rFonts w:ascii="Arial" w:hAnsi="Arial" w:cs="Arial" w:eastAsia="Arial"/>
                <w:b/>
                <w:bCs/>
                <w:color w:val="0E1E3A"/>
                <w:sz w:val="18"/>
                <w:szCs w:val="18"/>
                <w:rtl/>
              </w:rPr>
              <w:t>297,873,261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30 يونيو 2023م</w:t>
            </w:r>
          </w:p>
        </w:tc>
        <w:tc>
          <w:tcPr>
            <w:tcW w:type="dxa" w:w="6860"/>
          </w:tcPr>
          <w:p>
            <w:pPr>
              <w:bidi w:val="1"/>
              <w:spacing w:before="0" w:after="0" w:line="276" w:lineRule="auto"/>
            </w:pPr>
            <w:r>
              <w:rPr>
                <w:rFonts w:ascii="Arial" w:hAnsi="Arial" w:cs="Arial" w:eastAsia="Arial"/>
                <w:b/>
                <w:bCs/>
                <w:color w:val="0E1E3A"/>
                <w:sz w:val="18"/>
                <w:szCs w:val="18"/>
                <w:rtl/>
              </w:rPr>
              <w:t>329,079,031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30 سبتمبر 2023م</w:t>
            </w:r>
          </w:p>
        </w:tc>
        <w:tc>
          <w:tcPr>
            <w:tcW w:type="dxa" w:w="6860"/>
          </w:tcPr>
          <w:p>
            <w:pPr>
              <w:bidi w:val="1"/>
              <w:spacing w:before="0" w:after="0" w:line="276" w:lineRule="auto"/>
            </w:pPr>
            <w:r>
              <w:rPr>
                <w:rFonts w:ascii="Arial" w:hAnsi="Arial" w:cs="Arial" w:eastAsia="Arial"/>
                <w:b/>
                <w:bCs/>
                <w:color w:val="0E1E3A"/>
                <w:sz w:val="18"/>
                <w:szCs w:val="18"/>
                <w:rtl/>
              </w:rPr>
              <w:t>329,551,846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31 ديسمبر 2023م</w:t>
            </w:r>
          </w:p>
        </w:tc>
        <w:tc>
          <w:tcPr>
            <w:tcW w:type="dxa" w:w="6860"/>
          </w:tcPr>
          <w:p>
            <w:pPr>
              <w:bidi w:val="1"/>
              <w:spacing w:before="0" w:after="0" w:line="276" w:lineRule="auto"/>
            </w:pPr>
            <w:r>
              <w:rPr>
                <w:rFonts w:ascii="Arial" w:hAnsi="Arial" w:cs="Arial" w:eastAsia="Arial"/>
                <w:b/>
                <w:bCs/>
                <w:color w:val="0E1E3A"/>
                <w:sz w:val="18"/>
                <w:szCs w:val="18"/>
                <w:rtl/>
              </w:rPr>
              <w:t>335,698,437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31 مارس 2024م</w:t>
            </w:r>
          </w:p>
        </w:tc>
        <w:tc>
          <w:tcPr>
            <w:tcW w:type="dxa" w:w="6860"/>
          </w:tcPr>
          <w:p>
            <w:pPr>
              <w:bidi w:val="1"/>
              <w:spacing w:before="0" w:after="0" w:line="276" w:lineRule="auto"/>
            </w:pPr>
            <w:r>
              <w:rPr>
                <w:rFonts w:ascii="Arial" w:hAnsi="Arial" w:cs="Arial" w:eastAsia="Arial"/>
                <w:b/>
                <w:bCs/>
                <w:color w:val="0E1E3A"/>
                <w:sz w:val="18"/>
                <w:szCs w:val="18"/>
                <w:rtl/>
              </w:rPr>
              <w:t>320,568,367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30 يونيو 2024م</w:t>
            </w:r>
          </w:p>
        </w:tc>
        <w:tc>
          <w:tcPr>
            <w:tcW w:type="dxa" w:w="6860"/>
          </w:tcPr>
          <w:p>
            <w:pPr>
              <w:bidi w:val="1"/>
              <w:spacing w:before="0" w:after="0" w:line="276" w:lineRule="auto"/>
            </w:pPr>
            <w:r>
              <w:rPr>
                <w:rFonts w:ascii="Arial" w:hAnsi="Arial" w:cs="Arial" w:eastAsia="Arial"/>
                <w:b/>
                <w:bCs/>
                <w:color w:val="0E1E3A"/>
                <w:sz w:val="18"/>
                <w:szCs w:val="18"/>
                <w:rtl/>
              </w:rPr>
              <w:t>326,714,958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30 سبتمبر 2024م</w:t>
            </w:r>
          </w:p>
        </w:tc>
        <w:tc>
          <w:tcPr>
            <w:tcW w:type="dxa" w:w="6860"/>
          </w:tcPr>
          <w:p>
            <w:pPr>
              <w:bidi w:val="1"/>
              <w:spacing w:before="0" w:after="0" w:line="276" w:lineRule="auto"/>
            </w:pPr>
            <w:r>
              <w:rPr>
                <w:rFonts w:ascii="Arial" w:hAnsi="Arial" w:cs="Arial" w:eastAsia="Arial"/>
                <w:b/>
                <w:bCs/>
                <w:color w:val="0E1E3A"/>
                <w:sz w:val="18"/>
                <w:szCs w:val="18"/>
                <w:rtl/>
              </w:rPr>
              <w:t>296,927,632 ر.س.</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بناءً على سعر الوحدة.</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5" name="Picture 9041"/>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بيانات وحدات الصندوق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سعر الوحدة بنهاية الربع الثالث (30 سبتمبر 2024م)</w:t>
            </w:r>
          </w:p>
        </w:tc>
        <w:tc>
          <w:tcPr>
            <w:tcW w:type="dxa" w:w="6860"/>
          </w:tcPr>
          <w:p>
            <w:pPr>
              <w:bidi w:val="1"/>
              <w:spacing w:before="0" w:after="0" w:line="276" w:lineRule="auto"/>
            </w:pPr>
            <w:r>
              <w:rPr>
                <w:rFonts w:ascii="Arial" w:hAnsi="Arial" w:cs="Arial" w:eastAsia="Arial"/>
                <w:b/>
                <w:bCs/>
                <w:color w:val="0E1E3A"/>
                <w:sz w:val="18"/>
                <w:szCs w:val="18"/>
                <w:rtl/>
              </w:rPr>
              <w:t>6.28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التغير في سعر الوحدة مقارنةً بالربع السابق (من تاريخ إلى 30 يونيو 2024م إلى 30 سبتمبر 2024م)</w:t>
            </w:r>
          </w:p>
        </w:tc>
        <w:tc>
          <w:tcPr>
            <w:tcW w:type="dxa" w:w="6860"/>
          </w:tcPr>
          <w:p>
            <w:pPr>
              <w:bidi w:val="1"/>
              <w:spacing w:before="0" w:after="0" w:line="276" w:lineRule="auto"/>
            </w:pPr>
            <w:r>
              <w:rPr>
                <w:rFonts w:ascii="Arial" w:hAnsi="Arial" w:cs="Arial" w:eastAsia="Arial"/>
                <w:b/>
                <w:bCs/>
                <w:color w:val="0E1E3A"/>
                <w:sz w:val="18"/>
                <w:szCs w:val="18"/>
              </w:rPr>
              <w:t>‎-9.12%‎</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أداء سعر الوحدة منذ تاريخ الإدراج (من تاريخ الإدراج إلى نهاية الربع الثالث 2024م)</w:t>
            </w:r>
          </w:p>
        </w:tc>
        <w:tc>
          <w:tcPr>
            <w:tcW w:type="dxa" w:w="6860"/>
          </w:tcPr>
          <w:p>
            <w:pPr>
              <w:bidi w:val="1"/>
              <w:spacing w:before="0" w:after="0" w:line="276" w:lineRule="auto"/>
            </w:pPr>
            <w:r>
              <w:rPr>
                <w:rFonts w:ascii="Arial" w:hAnsi="Arial" w:cs="Arial" w:eastAsia="Arial"/>
                <w:b/>
                <w:bCs/>
                <w:color w:val="0E1E3A"/>
                <w:sz w:val="18"/>
                <w:szCs w:val="18"/>
              </w:rPr>
              <w:t>‎-37.20%‎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أعلى سعر في 52 أسبوعًا</w:t>
            </w:r>
          </w:p>
        </w:tc>
        <w:tc>
          <w:tcPr>
            <w:tcW w:type="dxa" w:w="6860"/>
          </w:tcPr>
          <w:p>
            <w:pPr>
              <w:bidi w:val="1"/>
              <w:spacing w:before="0" w:after="0" w:line="276" w:lineRule="auto"/>
            </w:pPr>
            <w:r>
              <w:rPr>
                <w:rFonts w:ascii="Arial" w:hAnsi="Arial" w:cs="Arial" w:eastAsia="Arial"/>
                <w:b/>
                <w:bCs/>
                <w:color w:val="0E1E3A"/>
                <w:sz w:val="18"/>
                <w:szCs w:val="18"/>
                <w:rtl/>
              </w:rPr>
              <w:t>7.23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أدنى سعر في 52 أسبوعًا</w:t>
            </w:r>
          </w:p>
        </w:tc>
        <w:tc>
          <w:tcPr>
            <w:tcW w:type="dxa" w:w="6860"/>
          </w:tcPr>
          <w:p>
            <w:pPr>
              <w:bidi w:val="1"/>
              <w:spacing w:before="0" w:after="0" w:line="276" w:lineRule="auto"/>
            </w:pPr>
            <w:r>
              <w:rPr>
                <w:rFonts w:ascii="Arial" w:hAnsi="Arial" w:cs="Arial" w:eastAsia="Arial"/>
                <w:b/>
                <w:bCs/>
                <w:color w:val="0E1E3A"/>
                <w:sz w:val="18"/>
                <w:szCs w:val="18"/>
                <w:rtl/>
              </w:rPr>
              <w:t>6.20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عدد الوحدات القائمة</w:t>
            </w:r>
          </w:p>
        </w:tc>
        <w:tc>
          <w:tcPr>
            <w:tcW w:type="dxa" w:w="6860"/>
          </w:tcPr>
          <w:p>
            <w:pPr>
              <w:bidi w:val="1"/>
              <w:spacing w:before="0" w:after="0" w:line="276" w:lineRule="auto"/>
            </w:pPr>
            <w:r>
              <w:rPr>
                <w:rFonts w:ascii="Arial" w:hAnsi="Arial" w:cs="Arial" w:eastAsia="Arial"/>
                <w:b/>
                <w:bCs/>
                <w:color w:val="0E1E3A"/>
                <w:sz w:val="18"/>
                <w:szCs w:val="18"/>
                <w:rtl/>
              </w:rPr>
              <w:t>47,281,470 وحدة</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مكرر الربحية</w:t>
            </w:r>
          </w:p>
        </w:tc>
        <w:tc>
          <w:tcPr>
            <w:tcW w:type="dxa" w:w="6860"/>
          </w:tcPr>
          <w:p>
            <w:pPr>
              <w:bidi w:val="1"/>
              <w:spacing w:before="0" w:after="0" w:line="276" w:lineRule="auto"/>
            </w:pPr>
            <w:r>
              <w:rPr>
                <w:rFonts w:ascii="Arial" w:hAnsi="Arial" w:cs="Arial" w:eastAsia="Arial"/>
                <w:b/>
                <w:bCs/>
                <w:color w:val="0E1E3A"/>
                <w:sz w:val="18"/>
                <w:szCs w:val="18"/>
                <w:rtl/>
              </w:rPr>
              <w:t>لا ينطبق</w:t>
            </w:r>
          </w:p>
        </w:tc>
      </w:tr>
    </w:tbl>
    <w:p>
      <w:pPr>
        <w:bidi w:val="1"/>
        <w:spacing w:before="0" w:after="40" w:line="300" w:lineRule="auto"/>
      </w:pP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6" name="Picture 9042"/>
            <wp:cNvGraphicFramePr>
              <a:graphicFrameLocks noChangeAspect="1"/>
            </wp:cNvGraphicFramePr>
            <a:graphic>
              <a:graphicData uri="http://schemas.openxmlformats.org/drawingml/2006/picture">
                <pic:pic>
                  <pic:nvPicPr>
                    <pic:cNvPr id="0" name="ico_737e94dc9d8d67dbf235ae564951a5f7.png"/>
                    <pic:cNvPicPr/>
                  </pic:nvPicPr>
                  <pic:blipFill>
                    <a:blip r:embed="rId20"/>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توزيع الأرباح</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سياسة توزيع الأرباح</w:t>
            </w:r>
          </w:p>
        </w:tc>
        <w:tc>
          <w:tcPr>
            <w:tcW w:type="dxa" w:w="6860"/>
          </w:tcPr>
          <w:p>
            <w:pPr>
              <w:bidi w:val="1"/>
              <w:spacing w:before="0" w:after="0" w:line="276" w:lineRule="auto"/>
            </w:pPr>
            <w:r>
              <w:rPr>
                <w:rFonts w:ascii="Arial" w:hAnsi="Arial" w:cs="Arial" w:eastAsia="Arial"/>
                <w:b/>
                <w:bCs/>
                <w:color w:val="0E1E3A"/>
                <w:sz w:val="18"/>
                <w:szCs w:val="18"/>
                <w:rtl/>
              </w:rPr>
              <w:t xml:space="preserve">سيقوم مدير الصندوق بتوزيع </w:t>
            </w:r>
            <w:r>
              <w:rPr>
                <w:rFonts w:ascii="Arial" w:hAnsi="Arial" w:cs="Arial" w:eastAsia="Arial"/>
                <w:b/>
                <w:bCs/>
                <w:color w:val="0E1E3A"/>
                <w:sz w:val="18"/>
                <w:szCs w:val="18"/>
              </w:rPr>
              <w:t>‎100%‎</w:t>
            </w:r>
            <w:r>
              <w:rPr>
                <w:rFonts w:ascii="Arial" w:hAnsi="Arial" w:cs="Arial" w:eastAsia="Arial"/>
                <w:b/>
                <w:bCs/>
                <w:color w:val="0E1E3A"/>
                <w:sz w:val="18"/>
                <w:szCs w:val="18"/>
                <w:rtl/>
              </w:rPr>
              <w:t xml:space="preserve"> من الأرباح نصف السنوية المستلمة من عوائد استثمارات الصندوق، بعد خصم المصروفات على مالكي الوحدات مرتين في السنة، على أن تكون التوزيعات خلال شهري أغسطس وفبراير سنويًا.</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الأرباح المدفوعة خلال الربع المعني *</w:t>
            </w:r>
          </w:p>
        </w:tc>
        <w:tc>
          <w:tcPr>
            <w:tcW w:type="dxa" w:w="6860"/>
          </w:tcPr>
          <w:p>
            <w:pPr>
              <w:bidi w:val="1"/>
              <w:spacing w:before="0" w:after="0" w:line="276" w:lineRule="auto"/>
            </w:pPr>
            <w:r>
              <w:rPr>
                <w:rFonts w:ascii="Arial" w:hAnsi="Arial" w:cs="Arial" w:eastAsia="Arial"/>
                <w:b/>
                <w:bCs/>
                <w:color w:val="0E1E3A"/>
                <w:sz w:val="18"/>
                <w:szCs w:val="18"/>
                <w:rtl/>
              </w:rPr>
              <w:t>13,238,812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الأرباح الموزعة عن آخر فترة نصف سنوية **</w:t>
            </w:r>
          </w:p>
        </w:tc>
        <w:tc>
          <w:tcPr>
            <w:tcW w:type="dxa" w:w="6860"/>
          </w:tcPr>
          <w:p>
            <w:pPr>
              <w:bidi w:val="1"/>
              <w:spacing w:before="0" w:after="0" w:line="276" w:lineRule="auto"/>
            </w:pPr>
            <w:r>
              <w:rPr>
                <w:rFonts w:ascii="Arial" w:hAnsi="Arial" w:cs="Arial" w:eastAsia="Arial"/>
                <w:b/>
                <w:bCs/>
                <w:color w:val="0E1E3A"/>
                <w:sz w:val="18"/>
                <w:szCs w:val="18"/>
                <w:rtl/>
              </w:rPr>
              <w:t>13,238,812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الربح الموزع عن آخر فترة نصف سنوية عن كل وحدة</w:t>
            </w:r>
          </w:p>
        </w:tc>
        <w:tc>
          <w:tcPr>
            <w:tcW w:type="dxa" w:w="6860"/>
          </w:tcPr>
          <w:p>
            <w:pPr>
              <w:bidi w:val="1"/>
              <w:spacing w:before="0" w:after="0" w:line="276" w:lineRule="auto"/>
            </w:pPr>
            <w:r>
              <w:rPr>
                <w:rFonts w:ascii="Arial" w:hAnsi="Arial" w:cs="Arial" w:eastAsia="Arial"/>
                <w:b/>
                <w:bCs/>
                <w:color w:val="0E1E3A"/>
                <w:sz w:val="18"/>
                <w:szCs w:val="18"/>
                <w:rtl/>
              </w:rPr>
              <w:t>0.28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الربح الموزع في الربع المعني من سعر الوحدة الأولي</w:t>
            </w:r>
          </w:p>
        </w:tc>
        <w:tc>
          <w:tcPr>
            <w:tcW w:type="dxa" w:w="6860"/>
          </w:tcPr>
          <w:p>
            <w:pPr>
              <w:bidi w:val="1"/>
              <w:spacing w:before="0" w:after="0" w:line="276" w:lineRule="auto"/>
            </w:pPr>
            <w:r>
              <w:rPr>
                <w:rFonts w:ascii="Arial" w:hAnsi="Arial" w:cs="Arial" w:eastAsia="Arial"/>
                <w:b/>
                <w:bCs/>
                <w:color w:val="0E1E3A"/>
                <w:sz w:val="18"/>
                <w:szCs w:val="18"/>
              </w:rPr>
              <w:t>‎2.80%‎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الربح الموزع على سعر الوحدة</w:t>
            </w:r>
          </w:p>
        </w:tc>
        <w:tc>
          <w:tcPr>
            <w:tcW w:type="dxa" w:w="6860"/>
          </w:tcPr>
          <w:p>
            <w:pPr>
              <w:bidi w:val="1"/>
              <w:spacing w:before="0" w:after="0" w:line="276" w:lineRule="auto"/>
            </w:pPr>
            <w:r>
              <w:rPr>
                <w:rFonts w:ascii="Arial" w:hAnsi="Arial" w:cs="Arial" w:eastAsia="Arial"/>
                <w:b/>
                <w:bCs/>
                <w:color w:val="0E1E3A"/>
                <w:sz w:val="18"/>
                <w:szCs w:val="18"/>
              </w:rPr>
              <w:t>‎4.46%‎</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الدخل للربع المعني *</w:t>
            </w:r>
          </w:p>
        </w:tc>
        <w:tc>
          <w:tcPr>
            <w:tcW w:type="dxa" w:w="6860"/>
          </w:tcPr>
          <w:p>
            <w:pPr>
              <w:bidi w:val="1"/>
              <w:spacing w:before="0" w:after="0" w:line="276" w:lineRule="auto"/>
            </w:pPr>
            <w:r>
              <w:rPr>
                <w:rFonts w:ascii="Arial" w:hAnsi="Arial" w:cs="Arial" w:eastAsia="Arial"/>
                <w:b/>
                <w:bCs/>
                <w:color w:val="0E1E3A"/>
                <w:sz w:val="18"/>
                <w:szCs w:val="18"/>
                <w:rtl/>
              </w:rPr>
              <w:t>11,835,352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الدخل للربع المعني على سعر الوحدة (30 سبتمبر 2024م)</w:t>
            </w:r>
          </w:p>
        </w:tc>
        <w:tc>
          <w:tcPr>
            <w:tcW w:type="dxa" w:w="6860"/>
          </w:tcPr>
          <w:p>
            <w:pPr>
              <w:bidi w:val="1"/>
              <w:spacing w:before="0" w:after="0" w:line="276" w:lineRule="auto"/>
            </w:pPr>
            <w:r>
              <w:rPr>
                <w:rFonts w:ascii="Arial" w:hAnsi="Arial" w:cs="Arial" w:eastAsia="Arial"/>
                <w:b/>
                <w:bCs/>
                <w:color w:val="0E1E3A"/>
                <w:sz w:val="18"/>
                <w:szCs w:val="18"/>
              </w:rPr>
              <w:t>‎3.99%‎</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من 1 يوليو 2024م إلى 30 سبتمبر 2024م.</w:t>
      </w:r>
      <w:r>
        <w:br/>
      </w:r>
      <w:r>
        <w:rPr>
          <w:rFonts w:ascii="Arial" w:hAnsi="Arial" w:cs="Arial" w:eastAsia="Arial"/>
          <w:color w:val="5A6478"/>
          <w:sz w:val="17"/>
          <w:szCs w:val="17"/>
          <w:rtl/>
        </w:rPr>
        <w:t>** من 1 يناير 2024م إلى 30 يونيو 2024م (تم دفع الأرباح الموزعة بتاريخ 20 اغسطس 2024م).</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7" name="Picture 9043"/>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معايير ومؤشرات أداء الصندوق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المؤشر الاسترشادي</w:t>
            </w:r>
          </w:p>
        </w:tc>
        <w:tc>
          <w:tcPr>
            <w:tcW w:type="dxa" w:w="6860"/>
          </w:tcPr>
          <w:p>
            <w:pPr>
              <w:bidi w:val="1"/>
              <w:spacing w:before="0" w:after="0" w:line="276" w:lineRule="auto"/>
            </w:pPr>
            <w:r>
              <w:rPr>
                <w:rFonts w:ascii="Arial" w:hAnsi="Arial" w:cs="Arial" w:eastAsia="Arial"/>
                <w:b/>
                <w:bCs/>
                <w:color w:val="0E1E3A"/>
                <w:sz w:val="18"/>
                <w:szCs w:val="18"/>
                <w:rtl/>
              </w:rPr>
              <w:t>معدل فائدة التمويل المضمون لليلة واحدة (SOFR) لمدة 12 شهرًا، زائدًا 300 نقطة أساس *</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سعر الوحدة الأولي (عند بداية الطرح)</w:t>
            </w:r>
          </w:p>
        </w:tc>
        <w:tc>
          <w:tcPr>
            <w:tcW w:type="dxa" w:w="6860"/>
          </w:tcPr>
          <w:p>
            <w:pPr>
              <w:bidi w:val="1"/>
              <w:spacing w:before="0" w:after="0" w:line="276" w:lineRule="auto"/>
            </w:pPr>
            <w:r>
              <w:rPr>
                <w:rFonts w:ascii="Arial" w:hAnsi="Arial" w:cs="Arial" w:eastAsia="Arial"/>
                <w:b/>
                <w:bCs/>
                <w:color w:val="0E1E3A"/>
                <w:sz w:val="18"/>
                <w:szCs w:val="18"/>
                <w:rtl/>
              </w:rPr>
              <w:t>10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أداء سعر الوحدة منذ الفترة السابقة **</w:t>
            </w:r>
          </w:p>
        </w:tc>
        <w:tc>
          <w:tcPr>
            <w:tcW w:type="dxa" w:w="6860"/>
          </w:tcPr>
          <w:p>
            <w:pPr>
              <w:bidi w:val="1"/>
              <w:spacing w:before="0" w:after="0" w:line="276" w:lineRule="auto"/>
            </w:pPr>
            <w:r>
              <w:rPr>
                <w:rFonts w:ascii="Arial" w:hAnsi="Arial" w:cs="Arial" w:eastAsia="Arial"/>
                <w:b/>
                <w:bCs/>
                <w:color w:val="0E1E3A"/>
                <w:sz w:val="18"/>
                <w:szCs w:val="18"/>
              </w:rPr>
              <w:t>‎-9.12%‎</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أداء سعر الوحدة منذ تاريخ البدء ***</w:t>
            </w:r>
          </w:p>
        </w:tc>
        <w:tc>
          <w:tcPr>
            <w:tcW w:type="dxa" w:w="6860"/>
          </w:tcPr>
          <w:p>
            <w:pPr>
              <w:bidi w:val="1"/>
              <w:spacing w:before="0" w:after="0" w:line="276" w:lineRule="auto"/>
            </w:pPr>
            <w:r>
              <w:rPr>
                <w:rFonts w:ascii="Arial" w:hAnsi="Arial" w:cs="Arial" w:eastAsia="Arial"/>
                <w:b/>
                <w:bCs/>
                <w:color w:val="0E1E3A"/>
                <w:sz w:val="18"/>
                <w:szCs w:val="18"/>
              </w:rPr>
              <w:t>‎-37.20%‎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العائد الكلي منذ تاريخ البدء ****</w:t>
            </w:r>
          </w:p>
        </w:tc>
        <w:tc>
          <w:tcPr>
            <w:tcW w:type="dxa" w:w="6860"/>
          </w:tcPr>
          <w:p>
            <w:pPr>
              <w:bidi w:val="1"/>
              <w:spacing w:before="0" w:after="0" w:line="276" w:lineRule="auto"/>
            </w:pPr>
            <w:r>
              <w:rPr>
                <w:rFonts w:ascii="Arial" w:hAnsi="Arial" w:cs="Arial" w:eastAsia="Arial"/>
                <w:b/>
                <w:bCs/>
                <w:color w:val="0E1E3A"/>
                <w:sz w:val="18"/>
                <w:szCs w:val="18"/>
              </w:rPr>
              <w:t>‎-19.16%‎</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في 16 مايو 2023م، قام الصندوق بتغيير مؤشره الاسترشادي من سعر فائدة الإقراض بين مصارف لندن (ليبور) لمدة 12 شهرًا زائدًا 300 نقطة أساس إلى سعر فائدة التمويل المضمون لليلة واحدة لمدة 12 شهرًا زائدًا 300 نقطة أساس.</w:t>
      </w:r>
      <w:r>
        <w:br/>
      </w:r>
      <w:r>
        <w:rPr>
          <w:rFonts w:ascii="Arial" w:hAnsi="Arial" w:cs="Arial" w:eastAsia="Arial"/>
          <w:color w:val="5A6478"/>
          <w:sz w:val="17"/>
          <w:szCs w:val="17"/>
          <w:rtl/>
        </w:rPr>
        <w:t>** سعر الوحدة بتاريخ 30 يونيو 2024م = 6.91 ر.س.</w:t>
      </w:r>
      <w:r>
        <w:br/>
      </w:r>
      <w:r>
        <w:rPr>
          <w:rFonts w:ascii="Arial" w:hAnsi="Arial" w:cs="Arial" w:eastAsia="Arial"/>
          <w:color w:val="5A6478"/>
          <w:sz w:val="17"/>
          <w:szCs w:val="17"/>
          <w:rtl/>
        </w:rPr>
        <w:t>*** من تاريخ بدء الصندوق إلى نهاية الربع الثالث من العام 2024م.</w:t>
      </w:r>
      <w:r>
        <w:br/>
      </w:r>
      <w:r>
        <w:rPr>
          <w:rFonts w:ascii="Arial" w:hAnsi="Arial" w:cs="Arial" w:eastAsia="Arial"/>
          <w:color w:val="5A6478"/>
          <w:sz w:val="17"/>
          <w:szCs w:val="17"/>
          <w:rtl/>
        </w:rPr>
        <w:t>**** العائد الكلي = أداء سعر الوحدة + إجمالي الأرباح الموزعة (إن وجدت).</w:t>
      </w:r>
      <w:r>
        <w:br/>
      </w:r>
      <w:r>
        <w:rPr>
          <w:rFonts w:ascii="Arial" w:hAnsi="Arial" w:cs="Arial" w:eastAsia="Arial"/>
          <w:color w:val="5A6478"/>
          <w:sz w:val="17"/>
          <w:szCs w:val="17"/>
          <w:rtl/>
        </w:rPr>
        <w:t>ملاحظة: يجب الإحاطة بأن سعر الوحدة في السوق المالية يخضع للارتفاع والانخفاض بناءً على عوامل السوق.</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8" name="Picture 9044"/>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وصف المؤشر الاسترشادي للصندوق</w:t>
      </w:r>
    </w:p>
    <w:p>
      <w:pPr>
        <w:bidi w:val="1"/>
        <w:spacing w:before="0" w:after="80" w:line="312" w:lineRule="auto"/>
      </w:pPr>
      <w:r>
        <w:rPr>
          <w:rFonts w:ascii="Arial" w:hAnsi="Arial" w:cs="Arial" w:eastAsia="Arial"/>
          <w:color w:val="0E1E3A"/>
          <w:sz w:val="20"/>
          <w:szCs w:val="20"/>
          <w:rtl/>
        </w:rPr>
        <w:t>المؤشر الاسترشادي للصندوق هو مؤشر معدل فائدة التمويل المضمون لليلة واحدة (SOFR) لمدة 12 شهرًا زائدًا 300 نقطة أساس.</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9" name="Picture 9045"/>
            <wp:cNvGraphicFramePr>
              <a:graphicFrameLocks noChangeAspect="1"/>
            </wp:cNvGraphicFramePr>
            <a:graphic>
              <a:graphicData uri="http://schemas.openxmlformats.org/drawingml/2006/picture">
                <pic:pic>
                  <pic:nvPicPr>
                    <pic:cNvPr id="0" name="ico_a4c5ee8beea27f59442669cc4fdf4aa4.png"/>
                    <pic:cNvPicPr/>
                  </pic:nvPicPr>
                  <pic:blipFill>
                    <a:blip r:embed="rId21"/>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معايير ومؤشرات قياس الأداء</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3326"/>
        <w:gridCol w:w="3326"/>
        <w:gridCol w:w="3326"/>
      </w:tblGrid>
      <w:tr>
        <w:trPr>
          <w:tblHeader/>
        </w:trPr>
        <w:tc>
          <w:tcPr>
            <w:tcW w:type="dxa" w:w="3326"/>
            <w:shd w:val="clear" w:color="auto" w:fill="12284B"/>
          </w:tcPr>
          <w:p>
            <w:pPr>
              <w:bidi w:val="1"/>
              <w:spacing w:before="0" w:after="0" w:line="264" w:lineRule="auto"/>
            </w:pPr>
          </w:p>
        </w:tc>
        <w:tc>
          <w:tcPr>
            <w:tcW w:type="dxa" w:w="3326"/>
            <w:shd w:val="clear" w:color="auto" w:fill="12284B"/>
          </w:tcPr>
          <w:p>
            <w:pPr>
              <w:bidi w:val="1"/>
              <w:spacing w:before="0" w:after="0" w:line="264" w:lineRule="auto"/>
            </w:pPr>
            <w:r>
              <w:rPr>
                <w:rFonts w:ascii="Arial" w:hAnsi="Arial" w:cs="Arial" w:eastAsia="Arial"/>
                <w:b/>
                <w:bCs/>
                <w:color w:val="FFFFFF"/>
                <w:sz w:val="17"/>
                <w:szCs w:val="17"/>
                <w:rtl/>
              </w:rPr>
              <w:t>صندوق الخبير للدخل</w:t>
            </w:r>
          </w:p>
        </w:tc>
        <w:tc>
          <w:tcPr>
            <w:tcW w:type="dxa" w:w="3326"/>
            <w:shd w:val="clear" w:color="auto" w:fill="12284B"/>
          </w:tcPr>
          <w:p>
            <w:pPr>
              <w:bidi w:val="1"/>
              <w:spacing w:before="0" w:after="0" w:line="264" w:lineRule="auto"/>
            </w:pPr>
            <w:r>
              <w:rPr>
                <w:rFonts w:ascii="Arial" w:hAnsi="Arial" w:cs="Arial" w:eastAsia="Arial"/>
                <w:b/>
                <w:bCs/>
                <w:color w:val="FFFFFF"/>
                <w:sz w:val="17"/>
                <w:szCs w:val="17"/>
                <w:rtl/>
              </w:rPr>
              <w:t>معدل فائدة التمويل المضمون لليلة واحدة لمدة 12 شهرًا زائدًا 300 نقطة أساس</w:t>
            </w:r>
          </w:p>
        </w:tc>
      </w:tr>
      <w:tr>
        <w:tc>
          <w:tcPr>
            <w:tcW w:type="dxa" w:w="3326"/>
          </w:tcPr>
          <w:p>
            <w:pPr>
              <w:bidi w:val="1"/>
              <w:spacing w:before="0" w:after="0" w:line="264" w:lineRule="auto"/>
            </w:pPr>
            <w:r>
              <w:rPr>
                <w:rFonts w:ascii="Arial" w:hAnsi="Arial" w:cs="Arial" w:eastAsia="Arial"/>
                <w:color w:val="0E1E3A"/>
                <w:sz w:val="17"/>
                <w:szCs w:val="17"/>
                <w:rtl/>
              </w:rPr>
              <w:t>صافي قيمة الوحدة في بداية الفترة *</w:t>
            </w:r>
          </w:p>
        </w:tc>
        <w:tc>
          <w:tcPr>
            <w:tcW w:type="dxa" w:w="3326"/>
          </w:tcPr>
          <w:p>
            <w:pPr>
              <w:bidi w:val="1"/>
              <w:spacing w:before="0" w:after="0" w:line="264" w:lineRule="auto"/>
            </w:pPr>
            <w:r>
              <w:rPr>
                <w:rFonts w:ascii="Arial" w:hAnsi="Arial" w:cs="Arial" w:eastAsia="Arial"/>
                <w:color w:val="0E1E3A"/>
                <w:sz w:val="17"/>
                <w:szCs w:val="17"/>
                <w:rtl/>
              </w:rPr>
              <w:t>9.7123</w:t>
            </w:r>
          </w:p>
        </w:tc>
        <w:tc>
          <w:tcPr>
            <w:tcW w:type="dxa" w:w="3326"/>
          </w:tcPr>
          <w:p>
            <w:pPr>
              <w:bidi w:val="1"/>
              <w:spacing w:before="0" w:after="0" w:line="264" w:lineRule="auto"/>
            </w:pPr>
            <w:r>
              <w:rPr>
                <w:rFonts w:ascii="Arial" w:hAnsi="Arial" w:cs="Arial" w:eastAsia="Arial"/>
                <w:color w:val="0E1E3A"/>
                <w:sz w:val="17"/>
                <w:szCs w:val="17"/>
                <w:rtl/>
              </w:rPr>
              <w:t>لا ينطبق</w:t>
            </w:r>
          </w:p>
        </w:tc>
      </w:tr>
      <w:tr>
        <w:tc>
          <w:tcPr>
            <w:tcW w:type="dxa" w:w="3326"/>
          </w:tcPr>
          <w:p>
            <w:pPr>
              <w:bidi w:val="1"/>
              <w:spacing w:before="0" w:after="0" w:line="264" w:lineRule="auto"/>
            </w:pPr>
            <w:r>
              <w:rPr>
                <w:rFonts w:ascii="Arial" w:hAnsi="Arial" w:cs="Arial" w:eastAsia="Arial"/>
                <w:color w:val="0E1E3A"/>
                <w:sz w:val="17"/>
                <w:szCs w:val="17"/>
                <w:rtl/>
              </w:rPr>
              <w:t>صافي قيمة الوحدة في نهاية الفترة **</w:t>
            </w:r>
          </w:p>
        </w:tc>
        <w:tc>
          <w:tcPr>
            <w:tcW w:type="dxa" w:w="3326"/>
          </w:tcPr>
          <w:p>
            <w:pPr>
              <w:bidi w:val="1"/>
              <w:spacing w:before="0" w:after="0" w:line="264" w:lineRule="auto"/>
            </w:pPr>
            <w:r>
              <w:rPr>
                <w:rFonts w:ascii="Arial" w:hAnsi="Arial" w:cs="Arial" w:eastAsia="Arial"/>
                <w:color w:val="0E1E3A"/>
                <w:sz w:val="17"/>
                <w:szCs w:val="17"/>
                <w:rtl/>
              </w:rPr>
              <w:t>9.6216</w:t>
            </w:r>
          </w:p>
        </w:tc>
        <w:tc>
          <w:tcPr>
            <w:tcW w:type="dxa" w:w="3326"/>
          </w:tcPr>
          <w:p>
            <w:pPr>
              <w:bidi w:val="1"/>
              <w:spacing w:before="0" w:after="0" w:line="264" w:lineRule="auto"/>
            </w:pPr>
            <w:r>
              <w:rPr>
                <w:rFonts w:ascii="Arial" w:hAnsi="Arial" w:cs="Arial" w:eastAsia="Arial"/>
                <w:color w:val="0E1E3A"/>
                <w:sz w:val="17"/>
                <w:szCs w:val="17"/>
                <w:rtl/>
              </w:rPr>
              <w:t>لا ينطبق</w:t>
            </w:r>
          </w:p>
        </w:tc>
      </w:tr>
      <w:tr>
        <w:tc>
          <w:tcPr>
            <w:tcW w:type="dxa" w:w="3326"/>
          </w:tcPr>
          <w:p>
            <w:pPr>
              <w:bidi w:val="1"/>
              <w:spacing w:before="0" w:after="0" w:line="264" w:lineRule="auto"/>
            </w:pPr>
            <w:r>
              <w:rPr>
                <w:rFonts w:ascii="Arial" w:hAnsi="Arial" w:cs="Arial" w:eastAsia="Arial"/>
                <w:color w:val="0E1E3A"/>
                <w:sz w:val="17"/>
                <w:szCs w:val="17"/>
                <w:rtl/>
              </w:rPr>
              <w:t>أداء الوحدة</w:t>
            </w:r>
          </w:p>
        </w:tc>
        <w:tc>
          <w:tcPr>
            <w:tcW w:type="dxa" w:w="3326"/>
          </w:tcPr>
          <w:p>
            <w:pPr>
              <w:bidi w:val="1"/>
              <w:spacing w:before="0" w:after="0" w:line="264" w:lineRule="auto"/>
            </w:pPr>
            <w:r>
              <w:rPr>
                <w:rFonts w:ascii="Arial" w:hAnsi="Arial" w:cs="Arial" w:eastAsia="Arial"/>
                <w:color w:val="0E1E3A"/>
                <w:sz w:val="17"/>
                <w:szCs w:val="17"/>
              </w:rPr>
              <w:t>‎-0.93%‎</w:t>
            </w:r>
          </w:p>
        </w:tc>
        <w:tc>
          <w:tcPr>
            <w:tcW w:type="dxa" w:w="3326"/>
          </w:tcPr>
          <w:p>
            <w:pPr>
              <w:bidi w:val="1"/>
              <w:spacing w:before="0" w:after="0" w:line="264" w:lineRule="auto"/>
            </w:pPr>
            <w:r>
              <w:rPr>
                <w:rFonts w:ascii="Arial" w:hAnsi="Arial" w:cs="Arial" w:eastAsia="Arial"/>
                <w:color w:val="0E1E3A"/>
                <w:sz w:val="17"/>
                <w:szCs w:val="17"/>
                <w:rtl/>
              </w:rPr>
              <w:t xml:space="preserve">*** </w:t>
            </w:r>
            <w:r>
              <w:rPr>
                <w:rFonts w:ascii="Arial" w:hAnsi="Arial" w:cs="Arial" w:eastAsia="Arial"/>
                <w:color w:val="0E1E3A"/>
                <w:sz w:val="17"/>
                <w:szCs w:val="17"/>
              </w:rPr>
              <w:t>‎1.79%‎</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كما في تاريخ 30 يونيو 2024م.</w:t>
      </w:r>
      <w:r>
        <w:br/>
      </w:r>
      <w:r>
        <w:rPr>
          <w:rFonts w:ascii="Arial" w:hAnsi="Arial" w:cs="Arial" w:eastAsia="Arial"/>
          <w:color w:val="5A6478"/>
          <w:sz w:val="17"/>
          <w:szCs w:val="17"/>
          <w:rtl/>
        </w:rPr>
        <w:t>** كما في تاريخ 30 سبتمبر 2024م.</w:t>
      </w:r>
      <w:r>
        <w:br/>
      </w:r>
      <w:r>
        <w:rPr>
          <w:rFonts w:ascii="Arial" w:hAnsi="Arial" w:cs="Arial" w:eastAsia="Arial"/>
          <w:color w:val="5A6478"/>
          <w:sz w:val="17"/>
          <w:szCs w:val="17"/>
          <w:rtl/>
        </w:rPr>
        <w:t xml:space="preserve">*** متوسط أداء المؤشر الاسترشادي يعادل </w:t>
      </w:r>
      <w:r>
        <w:rPr>
          <w:rFonts w:ascii="Arial" w:hAnsi="Arial" w:cs="Arial" w:eastAsia="Arial"/>
          <w:color w:val="5A6478"/>
          <w:sz w:val="17"/>
          <w:szCs w:val="17"/>
        </w:rPr>
        <w:t>‎7.93%‎</w:t>
      </w:r>
      <w:r>
        <w:rPr>
          <w:rFonts w:ascii="Arial" w:hAnsi="Arial" w:cs="Arial" w:eastAsia="Arial"/>
          <w:color w:val="5A6478"/>
          <w:sz w:val="17"/>
          <w:szCs w:val="17"/>
          <w:rtl/>
        </w:rPr>
        <w:t xml:space="preserve"> سنويًا، أي ما يعادل عائد </w:t>
      </w:r>
      <w:r>
        <w:rPr>
          <w:rFonts w:ascii="Arial" w:hAnsi="Arial" w:cs="Arial" w:eastAsia="Arial"/>
          <w:color w:val="5A6478"/>
          <w:sz w:val="17"/>
          <w:szCs w:val="17"/>
        </w:rPr>
        <w:t>‎1.79%‎</w:t>
      </w:r>
      <w:r>
        <w:rPr>
          <w:rFonts w:ascii="Arial" w:hAnsi="Arial" w:cs="Arial" w:eastAsia="Arial"/>
          <w:color w:val="5A6478"/>
          <w:sz w:val="17"/>
          <w:szCs w:val="17"/>
          <w:rtl/>
        </w:rPr>
        <w:t xml:space="preserve"> للربع المعني.</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0" name="Picture 9046"/>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ملكية استثمارات الصندوق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rPr>
          <w:tblHeader/>
        </w:trPr>
        <w:tc>
          <w:tcPr>
            <w:tcW w:type="dxa" w:w="4989"/>
            <w:shd w:val="clear" w:color="auto" w:fill="12284B"/>
          </w:tcPr>
          <w:p>
            <w:pPr>
              <w:bidi w:val="1"/>
              <w:spacing w:before="0" w:after="0" w:line="264" w:lineRule="auto"/>
            </w:pPr>
            <w:r>
              <w:rPr>
                <w:rFonts w:ascii="Arial" w:hAnsi="Arial" w:cs="Arial" w:eastAsia="Arial"/>
                <w:b/>
                <w:bCs/>
                <w:color w:val="FFFFFF"/>
                <w:sz w:val="17"/>
                <w:szCs w:val="17"/>
                <w:rtl/>
              </w:rPr>
              <w:t>الملكية</w:t>
            </w:r>
          </w:p>
        </w:tc>
        <w:tc>
          <w:tcPr>
            <w:tcW w:type="dxa" w:w="4989"/>
            <w:shd w:val="clear" w:color="auto" w:fill="12284B"/>
          </w:tcPr>
          <w:p>
            <w:pPr>
              <w:bidi w:val="1"/>
              <w:spacing w:before="0" w:after="0" w:line="264" w:lineRule="auto"/>
            </w:pPr>
            <w:r>
              <w:rPr>
                <w:rFonts w:ascii="Arial" w:hAnsi="Arial" w:cs="Arial" w:eastAsia="Arial"/>
                <w:b/>
                <w:bCs/>
                <w:color w:val="FFFFFF"/>
                <w:sz w:val="17"/>
                <w:szCs w:val="17"/>
                <w:rtl/>
              </w:rPr>
              <w:t>النسبة (%)</w:t>
            </w:r>
          </w:p>
        </w:tc>
      </w:tr>
      <w:tr>
        <w:tc>
          <w:tcPr>
            <w:tcW w:type="dxa" w:w="4989"/>
          </w:tcPr>
          <w:p>
            <w:pPr>
              <w:bidi w:val="1"/>
              <w:spacing w:before="0" w:after="0" w:line="264" w:lineRule="auto"/>
            </w:pPr>
            <w:r>
              <w:rPr>
                <w:rFonts w:ascii="Arial" w:hAnsi="Arial" w:cs="Arial" w:eastAsia="Arial"/>
                <w:color w:val="0E1E3A"/>
                <w:sz w:val="17"/>
                <w:szCs w:val="17"/>
                <w:rtl/>
              </w:rPr>
              <w:t>ملكية تامة</w:t>
            </w:r>
          </w:p>
        </w:tc>
        <w:tc>
          <w:tcPr>
            <w:tcW w:type="dxa" w:w="4989"/>
          </w:tcPr>
          <w:p>
            <w:pPr>
              <w:bidi w:val="1"/>
              <w:spacing w:before="0" w:after="0" w:line="264" w:lineRule="auto"/>
            </w:pPr>
            <w:r>
              <w:rPr>
                <w:rFonts w:ascii="Arial" w:hAnsi="Arial" w:cs="Arial" w:eastAsia="Arial"/>
                <w:color w:val="0E1E3A"/>
                <w:sz w:val="17"/>
                <w:szCs w:val="17"/>
              </w:rPr>
              <w:t>‎100%‎</w:t>
            </w:r>
          </w:p>
        </w:tc>
      </w:tr>
      <w:tr>
        <w:tc>
          <w:tcPr>
            <w:tcW w:type="dxa" w:w="4989"/>
          </w:tcPr>
          <w:p>
            <w:pPr>
              <w:bidi w:val="1"/>
              <w:spacing w:before="0" w:after="0" w:line="264" w:lineRule="auto"/>
            </w:pPr>
            <w:r>
              <w:rPr>
                <w:rFonts w:ascii="Arial" w:hAnsi="Arial" w:cs="Arial" w:eastAsia="Arial"/>
                <w:color w:val="0E1E3A"/>
                <w:sz w:val="17"/>
                <w:szCs w:val="17"/>
                <w:rtl/>
              </w:rPr>
              <w:t>حق منفعة</w:t>
            </w:r>
          </w:p>
        </w:tc>
        <w:tc>
          <w:tcPr>
            <w:tcW w:type="dxa" w:w="4989"/>
          </w:tcPr>
          <w:p>
            <w:pPr>
              <w:bidi w:val="1"/>
              <w:spacing w:before="0" w:after="0" w:line="264" w:lineRule="auto"/>
            </w:pPr>
            <w:r>
              <w:rPr>
                <w:rFonts w:ascii="Arial" w:hAnsi="Arial" w:cs="Arial" w:eastAsia="Arial"/>
                <w:color w:val="0E1E3A"/>
                <w:sz w:val="17"/>
                <w:szCs w:val="17"/>
              </w:rPr>
              <w:t>‎0%‎</w:t>
            </w:r>
          </w:p>
        </w:tc>
      </w:tr>
    </w:tbl>
    <w:p>
      <w:pPr>
        <w:bidi w:val="1"/>
        <w:spacing w:before="0" w:after="40" w:line="300" w:lineRule="auto"/>
      </w:pP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1" name="Picture 9047"/>
            <wp:cNvGraphicFramePr>
              <a:graphicFrameLocks noChangeAspect="1"/>
            </wp:cNvGraphicFramePr>
            <a:graphic>
              <a:graphicData uri="http://schemas.openxmlformats.org/drawingml/2006/picture">
                <pic:pic>
                  <pic:nvPicPr>
                    <pic:cNvPr id="0" name="ico_a4c5ee8beea27f59442669cc4fdf4aa4.png"/>
                    <pic:cNvPicPr/>
                  </pic:nvPicPr>
                  <pic:blipFill>
                    <a:blip r:embed="rId21"/>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العوائد</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1663"/>
        <w:gridCol w:w="1663"/>
        <w:gridCol w:w="1663"/>
        <w:gridCol w:w="1663"/>
        <w:gridCol w:w="1663"/>
        <w:gridCol w:w="1663"/>
      </w:tblGrid>
      <w:tr>
        <w:trPr>
          <w:tblHeader/>
        </w:trPr>
        <w:tc>
          <w:tcPr>
            <w:tcW w:type="dxa" w:w="1663"/>
            <w:shd w:val="clear" w:color="auto" w:fill="12284B"/>
          </w:tcPr>
          <w:p>
            <w:pPr>
              <w:bidi w:val="1"/>
              <w:spacing w:before="0" w:after="0" w:line="264" w:lineRule="auto"/>
            </w:pPr>
            <w:r>
              <w:rPr>
                <w:rFonts w:ascii="Arial" w:hAnsi="Arial" w:cs="Arial" w:eastAsia="Arial"/>
                <w:b/>
                <w:bCs/>
                <w:color w:val="FFFFFF"/>
                <w:sz w:val="17"/>
                <w:szCs w:val="17"/>
                <w:rtl/>
              </w:rPr>
              <w:t>البند</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3 أشهر *</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سنة حتى تاريخه **</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سنة واحدة ***</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3 سنوات</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5 سنوات</w:t>
            </w:r>
          </w:p>
        </w:tc>
      </w:tr>
      <w:tr>
        <w:tc>
          <w:tcPr>
            <w:tcW w:type="dxa" w:w="1663"/>
          </w:tcPr>
          <w:p>
            <w:pPr>
              <w:bidi w:val="1"/>
              <w:spacing w:before="0" w:after="0" w:line="264" w:lineRule="auto"/>
            </w:pPr>
            <w:r>
              <w:rPr>
                <w:rFonts w:ascii="Arial" w:hAnsi="Arial" w:cs="Arial" w:eastAsia="Arial"/>
                <w:color w:val="0E1E3A"/>
                <w:sz w:val="17"/>
                <w:szCs w:val="17"/>
                <w:rtl/>
              </w:rPr>
              <w:t>العائد الكلي إلى صافي قيمة الوحدة "أداء الصندوق"</w:t>
            </w:r>
          </w:p>
        </w:tc>
        <w:tc>
          <w:tcPr>
            <w:tcW w:type="dxa" w:w="1663"/>
          </w:tcPr>
          <w:p>
            <w:pPr>
              <w:bidi w:val="1"/>
              <w:spacing w:before="0" w:after="0" w:line="264" w:lineRule="auto"/>
            </w:pPr>
            <w:r>
              <w:rPr>
                <w:rFonts w:ascii="Arial" w:hAnsi="Arial" w:cs="Arial" w:eastAsia="Arial"/>
                <w:color w:val="0E1E3A"/>
                <w:sz w:val="17"/>
                <w:szCs w:val="17"/>
              </w:rPr>
              <w:t>‎1.95%‎</w:t>
            </w:r>
          </w:p>
        </w:tc>
        <w:tc>
          <w:tcPr>
            <w:tcW w:type="dxa" w:w="1663"/>
          </w:tcPr>
          <w:p>
            <w:pPr>
              <w:bidi w:val="1"/>
              <w:spacing w:before="0" w:after="0" w:line="264" w:lineRule="auto"/>
            </w:pPr>
            <w:r>
              <w:rPr>
                <w:rFonts w:ascii="Arial" w:hAnsi="Arial" w:cs="Arial" w:eastAsia="Arial"/>
                <w:color w:val="0E1E3A"/>
                <w:sz w:val="17"/>
                <w:szCs w:val="17"/>
              </w:rPr>
              <w:t>‎2.78%‎</w:t>
            </w:r>
          </w:p>
        </w:tc>
        <w:tc>
          <w:tcPr>
            <w:tcW w:type="dxa" w:w="1663"/>
          </w:tcPr>
          <w:p>
            <w:pPr>
              <w:bidi w:val="1"/>
              <w:spacing w:before="0" w:after="0" w:line="264" w:lineRule="auto"/>
            </w:pPr>
            <w:r>
              <w:rPr>
                <w:rFonts w:ascii="Arial" w:hAnsi="Arial" w:cs="Arial" w:eastAsia="Arial"/>
                <w:color w:val="0E1E3A"/>
                <w:sz w:val="17"/>
                <w:szCs w:val="17"/>
              </w:rPr>
              <w:t>‎4.46%‎</w:t>
            </w:r>
          </w:p>
        </w:tc>
        <w:tc>
          <w:tcPr>
            <w:tcW w:type="dxa" w:w="1663"/>
          </w:tcPr>
          <w:p>
            <w:pPr>
              <w:bidi w:val="1"/>
              <w:spacing w:before="0" w:after="0" w:line="264" w:lineRule="auto"/>
            </w:pPr>
            <w:r>
              <w:rPr>
                <w:rFonts w:ascii="Arial" w:hAnsi="Arial" w:cs="Arial" w:eastAsia="Arial"/>
                <w:color w:val="0E1E3A"/>
                <w:sz w:val="17"/>
                <w:szCs w:val="17"/>
              </w:rPr>
              <w:t>‎15.54%‎</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أداء المؤشر الاسترشادي</w:t>
            </w:r>
          </w:p>
        </w:tc>
        <w:tc>
          <w:tcPr>
            <w:tcW w:type="dxa" w:w="1663"/>
          </w:tcPr>
          <w:p>
            <w:pPr>
              <w:bidi w:val="1"/>
              <w:spacing w:before="0" w:after="0" w:line="264" w:lineRule="auto"/>
            </w:pPr>
            <w:r>
              <w:rPr>
                <w:rFonts w:ascii="Arial" w:hAnsi="Arial" w:cs="Arial" w:eastAsia="Arial"/>
                <w:color w:val="0E1E3A"/>
                <w:sz w:val="17"/>
                <w:szCs w:val="17"/>
              </w:rPr>
              <w:t>‎1.79%‎</w:t>
            </w:r>
          </w:p>
        </w:tc>
        <w:tc>
          <w:tcPr>
            <w:tcW w:type="dxa" w:w="1663"/>
          </w:tcPr>
          <w:p>
            <w:pPr>
              <w:bidi w:val="1"/>
              <w:spacing w:before="0" w:after="0" w:line="264" w:lineRule="auto"/>
            </w:pPr>
            <w:r>
              <w:rPr>
                <w:rFonts w:ascii="Arial" w:hAnsi="Arial" w:cs="Arial" w:eastAsia="Arial"/>
                <w:color w:val="0E1E3A"/>
                <w:sz w:val="17"/>
                <w:szCs w:val="17"/>
              </w:rPr>
              <w:t>‎5.81%‎</w:t>
            </w:r>
          </w:p>
        </w:tc>
        <w:tc>
          <w:tcPr>
            <w:tcW w:type="dxa" w:w="1663"/>
          </w:tcPr>
          <w:p>
            <w:pPr>
              <w:bidi w:val="1"/>
              <w:spacing w:before="0" w:after="0" w:line="264" w:lineRule="auto"/>
            </w:pPr>
            <w:r>
              <w:rPr>
                <w:rFonts w:ascii="Arial" w:hAnsi="Arial" w:cs="Arial" w:eastAsia="Arial"/>
                <w:color w:val="0E1E3A"/>
                <w:sz w:val="17"/>
                <w:szCs w:val="17"/>
              </w:rPr>
              <w:t>‎7.93%‎</w:t>
            </w:r>
          </w:p>
        </w:tc>
        <w:tc>
          <w:tcPr>
            <w:tcW w:type="dxa" w:w="1663"/>
          </w:tcPr>
          <w:p>
            <w:pPr>
              <w:bidi w:val="1"/>
              <w:spacing w:before="0" w:after="0" w:line="264" w:lineRule="auto"/>
            </w:pPr>
            <w:r>
              <w:rPr>
                <w:rFonts w:ascii="Arial" w:hAnsi="Arial" w:cs="Arial" w:eastAsia="Arial"/>
                <w:color w:val="0E1E3A"/>
                <w:sz w:val="17"/>
                <w:szCs w:val="17"/>
              </w:rPr>
              <w:t>‎25.97%‎</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فارق الأداء</w:t>
            </w:r>
          </w:p>
        </w:tc>
        <w:tc>
          <w:tcPr>
            <w:tcW w:type="dxa" w:w="1663"/>
          </w:tcPr>
          <w:p>
            <w:pPr>
              <w:bidi w:val="1"/>
              <w:spacing w:before="0" w:after="0" w:line="264" w:lineRule="auto"/>
            </w:pPr>
            <w:r>
              <w:rPr>
                <w:rFonts w:ascii="Arial" w:hAnsi="Arial" w:cs="Arial" w:eastAsia="Arial"/>
                <w:color w:val="0E1E3A"/>
                <w:sz w:val="17"/>
                <w:szCs w:val="17"/>
              </w:rPr>
              <w:t>‎0.16%‎</w:t>
            </w:r>
          </w:p>
        </w:tc>
        <w:tc>
          <w:tcPr>
            <w:tcW w:type="dxa" w:w="1663"/>
          </w:tcPr>
          <w:p>
            <w:pPr>
              <w:bidi w:val="1"/>
              <w:spacing w:before="0" w:after="0" w:line="264" w:lineRule="auto"/>
            </w:pPr>
            <w:r>
              <w:rPr>
                <w:rFonts w:ascii="Arial" w:hAnsi="Arial" w:cs="Arial" w:eastAsia="Arial"/>
                <w:color w:val="0E1E3A"/>
                <w:sz w:val="17"/>
                <w:szCs w:val="17"/>
              </w:rPr>
              <w:t>‎-3.03%‎</w:t>
            </w:r>
          </w:p>
        </w:tc>
        <w:tc>
          <w:tcPr>
            <w:tcW w:type="dxa" w:w="1663"/>
          </w:tcPr>
          <w:p>
            <w:pPr>
              <w:bidi w:val="1"/>
              <w:spacing w:before="0" w:after="0" w:line="264" w:lineRule="auto"/>
            </w:pPr>
            <w:r>
              <w:rPr>
                <w:rFonts w:ascii="Arial" w:hAnsi="Arial" w:cs="Arial" w:eastAsia="Arial"/>
                <w:color w:val="0E1E3A"/>
                <w:sz w:val="17"/>
                <w:szCs w:val="17"/>
              </w:rPr>
              <w:t>‎-3.47%‎</w:t>
            </w:r>
          </w:p>
        </w:tc>
        <w:tc>
          <w:tcPr>
            <w:tcW w:type="dxa" w:w="1663"/>
          </w:tcPr>
          <w:p>
            <w:pPr>
              <w:bidi w:val="1"/>
              <w:spacing w:before="0" w:after="0" w:line="264" w:lineRule="auto"/>
            </w:pPr>
            <w:r>
              <w:rPr>
                <w:rFonts w:ascii="Arial" w:hAnsi="Arial" w:cs="Arial" w:eastAsia="Arial"/>
                <w:color w:val="0E1E3A"/>
                <w:sz w:val="17"/>
                <w:szCs w:val="17"/>
              </w:rPr>
              <w:t>‎-10.43%‎</w:t>
            </w:r>
          </w:p>
        </w:tc>
        <w:tc>
          <w:tcPr>
            <w:tcW w:type="dxa" w:w="1663"/>
          </w:tcPr>
          <w:p>
            <w:pPr>
              <w:bidi w:val="1"/>
              <w:spacing w:before="0" w:after="0" w:line="264" w:lineRule="auto"/>
            </w:pPr>
            <w:r>
              <w:rPr>
                <w:rFonts w:ascii="Arial" w:hAnsi="Arial" w:cs="Arial" w:eastAsia="Arial"/>
                <w:color w:val="0E1E3A"/>
                <w:sz w:val="17"/>
                <w:szCs w:val="17"/>
                <w:rtl/>
              </w:rPr>
              <w:t>لا ينطبق</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عن الفترة من 30 يونيو 2024م إلى 30 سبتمبر 2024م.</w:t>
      </w:r>
      <w:r>
        <w:br/>
      </w:r>
      <w:r>
        <w:rPr>
          <w:rFonts w:ascii="Arial" w:hAnsi="Arial" w:cs="Arial" w:eastAsia="Arial"/>
          <w:color w:val="5A6478"/>
          <w:sz w:val="17"/>
          <w:szCs w:val="17"/>
          <w:rtl/>
        </w:rPr>
        <w:t xml:space="preserve">** عن الفترة من 31 ديسمبر 2023م إلى 30 سبتمبر 2024م متضمنة التوزيعات النقدية بنسبة </w:t>
      </w:r>
      <w:r>
        <w:rPr>
          <w:rFonts w:ascii="Arial" w:hAnsi="Arial" w:cs="Arial" w:eastAsia="Arial"/>
          <w:color w:val="5A6478"/>
          <w:sz w:val="17"/>
          <w:szCs w:val="17"/>
        </w:rPr>
        <w:t>‎5.70%‎</w:t>
      </w:r>
      <w:r>
        <w:rPr>
          <w:rFonts w:ascii="Arial" w:hAnsi="Arial" w:cs="Arial" w:eastAsia="Arial"/>
          <w:color w:val="5A6478"/>
          <w:sz w:val="17"/>
          <w:szCs w:val="17"/>
          <w:rtl/>
        </w:rPr>
        <w:t>.</w:t>
      </w:r>
      <w:r>
        <w:br/>
      </w:r>
      <w:r>
        <w:rPr>
          <w:rFonts w:ascii="Arial" w:hAnsi="Arial" w:cs="Arial" w:eastAsia="Arial"/>
          <w:color w:val="5A6478"/>
          <w:sz w:val="17"/>
          <w:szCs w:val="17"/>
          <w:rtl/>
        </w:rPr>
        <w:t xml:space="preserve">*** عن الفترة من 30 سبتمبر 2023م إلى 30 سبتمبر 2024م متضمنة توزيعات نقدية بنسبة </w:t>
      </w:r>
      <w:r>
        <w:rPr>
          <w:rFonts w:ascii="Arial" w:hAnsi="Arial" w:cs="Arial" w:eastAsia="Arial"/>
          <w:color w:val="5A6478"/>
          <w:sz w:val="17"/>
          <w:szCs w:val="17"/>
        </w:rPr>
        <w:t>‎5.70%‎</w:t>
      </w:r>
      <w:r>
        <w:rPr>
          <w:rFonts w:ascii="Arial" w:hAnsi="Arial" w:cs="Arial" w:eastAsia="Arial"/>
          <w:color w:val="5A6478"/>
          <w:sz w:val="17"/>
          <w:szCs w:val="17"/>
          <w:rtl/>
        </w:rPr>
        <w:t>.</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2" name="Picture 9048"/>
            <wp:cNvGraphicFramePr>
              <a:graphicFrameLocks noChangeAspect="1"/>
            </wp:cNvGraphicFramePr>
            <a:graphic>
              <a:graphicData uri="http://schemas.openxmlformats.org/drawingml/2006/picture">
                <pic:pic>
                  <pic:nvPicPr>
                    <pic:cNvPr id="0" name="ico_47bcec02f49b9d1a764a57a70a5c8310.png"/>
                    <pic:cNvPicPr/>
                  </pic:nvPicPr>
                  <pic:blipFill>
                    <a:blip r:embed="rId22"/>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الأداء والمخاطر</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1663"/>
        <w:gridCol w:w="1663"/>
        <w:gridCol w:w="1663"/>
        <w:gridCol w:w="1663"/>
        <w:gridCol w:w="1663"/>
        <w:gridCol w:w="1663"/>
      </w:tblGrid>
      <w:tr>
        <w:trPr>
          <w:tblHeader/>
        </w:trPr>
        <w:tc>
          <w:tcPr>
            <w:tcW w:type="dxa" w:w="1663"/>
            <w:shd w:val="clear" w:color="auto" w:fill="12284B"/>
          </w:tcPr>
          <w:p>
            <w:pPr>
              <w:bidi w:val="1"/>
              <w:spacing w:before="0" w:after="0" w:line="264" w:lineRule="auto"/>
            </w:pPr>
            <w:r>
              <w:rPr>
                <w:rFonts w:ascii="Arial" w:hAnsi="Arial" w:cs="Arial" w:eastAsia="Arial"/>
                <w:b/>
                <w:bCs/>
                <w:color w:val="FFFFFF"/>
                <w:sz w:val="17"/>
                <w:szCs w:val="17"/>
                <w:rtl/>
              </w:rPr>
              <w:t>معايير الأداء والمخاطر</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3 أشهر 1</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سنة حتى تاريخه 2</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سنة واحدة 3</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3 سنوات</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5 سنوات</w:t>
            </w:r>
          </w:p>
        </w:tc>
      </w:tr>
      <w:tr>
        <w:tc>
          <w:tcPr>
            <w:tcW w:type="dxa" w:w="1663"/>
          </w:tcPr>
          <w:p>
            <w:pPr>
              <w:bidi w:val="1"/>
              <w:spacing w:before="0" w:after="0" w:line="264" w:lineRule="auto"/>
            </w:pPr>
            <w:r>
              <w:rPr>
                <w:rFonts w:ascii="Arial" w:hAnsi="Arial" w:cs="Arial" w:eastAsia="Arial"/>
                <w:color w:val="0E1E3A"/>
                <w:sz w:val="17"/>
                <w:szCs w:val="17"/>
                <w:rtl/>
              </w:rPr>
              <w:t>الانحراف المعياري 4</w:t>
            </w:r>
          </w:p>
        </w:tc>
        <w:tc>
          <w:tcPr>
            <w:tcW w:type="dxa" w:w="1663"/>
          </w:tcPr>
          <w:p>
            <w:pPr>
              <w:bidi w:val="1"/>
              <w:spacing w:before="0" w:after="0" w:line="264" w:lineRule="auto"/>
            </w:pPr>
            <w:r>
              <w:rPr>
                <w:rFonts w:ascii="Arial" w:hAnsi="Arial" w:cs="Arial" w:eastAsia="Arial"/>
                <w:color w:val="0E1E3A"/>
                <w:sz w:val="17"/>
                <w:szCs w:val="17"/>
                <w:rtl/>
              </w:rPr>
              <w:t>20.7</w:t>
            </w:r>
          </w:p>
        </w:tc>
        <w:tc>
          <w:tcPr>
            <w:tcW w:type="dxa" w:w="1663"/>
          </w:tcPr>
          <w:p>
            <w:pPr>
              <w:bidi w:val="1"/>
              <w:spacing w:before="0" w:after="0" w:line="264" w:lineRule="auto"/>
            </w:pPr>
            <w:r>
              <w:rPr>
                <w:rFonts w:ascii="Arial" w:hAnsi="Arial" w:cs="Arial" w:eastAsia="Arial"/>
                <w:color w:val="0E1E3A"/>
                <w:sz w:val="17"/>
                <w:szCs w:val="17"/>
                <w:rtl/>
              </w:rPr>
              <w:t>13.7</w:t>
            </w:r>
          </w:p>
        </w:tc>
        <w:tc>
          <w:tcPr>
            <w:tcW w:type="dxa" w:w="1663"/>
          </w:tcPr>
          <w:p>
            <w:pPr>
              <w:bidi w:val="1"/>
              <w:spacing w:before="0" w:after="0" w:line="264" w:lineRule="auto"/>
            </w:pPr>
            <w:r>
              <w:rPr>
                <w:rFonts w:ascii="Arial" w:hAnsi="Arial" w:cs="Arial" w:eastAsia="Arial"/>
                <w:color w:val="0E1E3A"/>
                <w:sz w:val="17"/>
                <w:szCs w:val="17"/>
                <w:rtl/>
              </w:rPr>
              <w:t>12.9</w:t>
            </w:r>
          </w:p>
        </w:tc>
        <w:tc>
          <w:tcPr>
            <w:tcW w:type="dxa" w:w="1663"/>
          </w:tcPr>
          <w:p>
            <w:pPr>
              <w:bidi w:val="1"/>
              <w:spacing w:before="0" w:after="0" w:line="264" w:lineRule="auto"/>
            </w:pPr>
            <w:r>
              <w:rPr>
                <w:rFonts w:ascii="Arial" w:hAnsi="Arial" w:cs="Arial" w:eastAsia="Arial"/>
                <w:color w:val="0E1E3A"/>
                <w:sz w:val="17"/>
                <w:szCs w:val="17"/>
                <w:rtl/>
              </w:rPr>
              <w:t>14.9</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مؤشر شارب 5</w:t>
            </w:r>
          </w:p>
        </w:tc>
        <w:tc>
          <w:tcPr>
            <w:tcW w:type="dxa" w:w="1663"/>
          </w:tcPr>
          <w:p>
            <w:pPr>
              <w:bidi w:val="1"/>
              <w:spacing w:before="0" w:after="0" w:line="264" w:lineRule="auto"/>
            </w:pPr>
            <w:r>
              <w:rPr>
                <w:rFonts w:ascii="Arial" w:hAnsi="Arial" w:cs="Arial" w:eastAsia="Arial"/>
                <w:color w:val="0E1E3A"/>
                <w:sz w:val="17"/>
                <w:szCs w:val="17"/>
                <w:rtl/>
              </w:rPr>
              <w:t>-0.81</w:t>
            </w:r>
          </w:p>
        </w:tc>
        <w:tc>
          <w:tcPr>
            <w:tcW w:type="dxa" w:w="1663"/>
          </w:tcPr>
          <w:p>
            <w:pPr>
              <w:bidi w:val="1"/>
              <w:spacing w:before="0" w:after="0" w:line="264" w:lineRule="auto"/>
            </w:pPr>
            <w:r>
              <w:rPr>
                <w:rFonts w:ascii="Arial" w:hAnsi="Arial" w:cs="Arial" w:eastAsia="Arial"/>
                <w:color w:val="0E1E3A"/>
                <w:sz w:val="17"/>
                <w:szCs w:val="17"/>
                <w:rtl/>
              </w:rPr>
              <w:t>-0.45</w:t>
            </w:r>
          </w:p>
        </w:tc>
        <w:tc>
          <w:tcPr>
            <w:tcW w:type="dxa" w:w="1663"/>
          </w:tcPr>
          <w:p>
            <w:pPr>
              <w:bidi w:val="1"/>
              <w:spacing w:before="0" w:after="0" w:line="264" w:lineRule="auto"/>
            </w:pPr>
            <w:r>
              <w:rPr>
                <w:rFonts w:ascii="Arial" w:hAnsi="Arial" w:cs="Arial" w:eastAsia="Arial"/>
                <w:color w:val="0E1E3A"/>
                <w:sz w:val="17"/>
                <w:szCs w:val="17"/>
                <w:rtl/>
              </w:rPr>
              <w:t>-0.62</w:t>
            </w:r>
          </w:p>
        </w:tc>
        <w:tc>
          <w:tcPr>
            <w:tcW w:type="dxa" w:w="1663"/>
          </w:tcPr>
          <w:p>
            <w:pPr>
              <w:bidi w:val="1"/>
              <w:spacing w:before="0" w:after="0" w:line="264" w:lineRule="auto"/>
            </w:pPr>
            <w:r>
              <w:rPr>
                <w:rFonts w:ascii="Arial" w:hAnsi="Arial" w:cs="Arial" w:eastAsia="Arial"/>
                <w:color w:val="0E1E3A"/>
                <w:sz w:val="17"/>
                <w:szCs w:val="17"/>
                <w:rtl/>
              </w:rPr>
              <w:t>-0.53</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خطأ التتبع 6</w:t>
            </w:r>
          </w:p>
        </w:tc>
        <w:tc>
          <w:tcPr>
            <w:tcW w:type="dxa" w:w="1663"/>
          </w:tcPr>
          <w:p>
            <w:pPr>
              <w:bidi w:val="1"/>
              <w:spacing w:before="0" w:after="0" w:line="264" w:lineRule="auto"/>
            </w:pPr>
            <w:r>
              <w:rPr>
                <w:rFonts w:ascii="Arial" w:hAnsi="Arial" w:cs="Arial" w:eastAsia="Arial"/>
                <w:color w:val="0E1E3A"/>
                <w:sz w:val="17"/>
                <w:szCs w:val="17"/>
                <w:rtl/>
              </w:rPr>
              <w:t>20.7</w:t>
            </w:r>
          </w:p>
        </w:tc>
        <w:tc>
          <w:tcPr>
            <w:tcW w:type="dxa" w:w="1663"/>
          </w:tcPr>
          <w:p>
            <w:pPr>
              <w:bidi w:val="1"/>
              <w:spacing w:before="0" w:after="0" w:line="264" w:lineRule="auto"/>
            </w:pPr>
            <w:r>
              <w:rPr>
                <w:rFonts w:ascii="Arial" w:hAnsi="Arial" w:cs="Arial" w:eastAsia="Arial"/>
                <w:color w:val="0E1E3A"/>
                <w:sz w:val="17"/>
                <w:szCs w:val="17"/>
                <w:rtl/>
              </w:rPr>
              <w:t>13.7</w:t>
            </w:r>
          </w:p>
        </w:tc>
        <w:tc>
          <w:tcPr>
            <w:tcW w:type="dxa" w:w="1663"/>
          </w:tcPr>
          <w:p>
            <w:pPr>
              <w:bidi w:val="1"/>
              <w:spacing w:before="0" w:after="0" w:line="264" w:lineRule="auto"/>
            </w:pPr>
            <w:r>
              <w:rPr>
                <w:rFonts w:ascii="Arial" w:hAnsi="Arial" w:cs="Arial" w:eastAsia="Arial"/>
                <w:color w:val="0E1E3A"/>
                <w:sz w:val="17"/>
                <w:szCs w:val="17"/>
                <w:rtl/>
              </w:rPr>
              <w:t>13.0</w:t>
            </w:r>
          </w:p>
        </w:tc>
        <w:tc>
          <w:tcPr>
            <w:tcW w:type="dxa" w:w="1663"/>
          </w:tcPr>
          <w:p>
            <w:pPr>
              <w:bidi w:val="1"/>
              <w:spacing w:before="0" w:after="0" w:line="264" w:lineRule="auto"/>
            </w:pPr>
            <w:r>
              <w:rPr>
                <w:rFonts w:ascii="Arial" w:hAnsi="Arial" w:cs="Arial" w:eastAsia="Arial"/>
                <w:color w:val="0E1E3A"/>
                <w:sz w:val="17"/>
                <w:szCs w:val="17"/>
                <w:rtl/>
              </w:rPr>
              <w:t>15.0</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بيتا 7</w:t>
            </w:r>
          </w:p>
        </w:tc>
        <w:tc>
          <w:tcPr>
            <w:tcW w:type="dxa" w:w="1663"/>
          </w:tcPr>
          <w:p>
            <w:pPr>
              <w:bidi w:val="1"/>
              <w:spacing w:before="0" w:after="0" w:line="264" w:lineRule="auto"/>
            </w:pPr>
            <w:r>
              <w:rPr>
                <w:rFonts w:ascii="Arial" w:hAnsi="Arial" w:cs="Arial" w:eastAsia="Arial"/>
                <w:color w:val="0E1E3A"/>
                <w:sz w:val="17"/>
                <w:szCs w:val="17"/>
                <w:rtl/>
              </w:rPr>
              <w:t>0.6</w:t>
            </w:r>
          </w:p>
        </w:tc>
        <w:tc>
          <w:tcPr>
            <w:tcW w:type="dxa" w:w="1663"/>
          </w:tcPr>
          <w:p>
            <w:pPr>
              <w:bidi w:val="1"/>
              <w:spacing w:before="0" w:after="0" w:line="264" w:lineRule="auto"/>
            </w:pPr>
            <w:r>
              <w:rPr>
                <w:rFonts w:ascii="Arial" w:hAnsi="Arial" w:cs="Arial" w:eastAsia="Arial"/>
                <w:color w:val="0E1E3A"/>
                <w:sz w:val="17"/>
                <w:szCs w:val="17"/>
                <w:rtl/>
              </w:rPr>
              <w:t>-2.7</w:t>
            </w:r>
          </w:p>
        </w:tc>
        <w:tc>
          <w:tcPr>
            <w:tcW w:type="dxa" w:w="1663"/>
          </w:tcPr>
          <w:p>
            <w:pPr>
              <w:bidi w:val="1"/>
              <w:spacing w:before="0" w:after="0" w:line="264" w:lineRule="auto"/>
            </w:pPr>
            <w:r>
              <w:rPr>
                <w:rFonts w:ascii="Arial" w:hAnsi="Arial" w:cs="Arial" w:eastAsia="Arial"/>
                <w:color w:val="0E1E3A"/>
                <w:sz w:val="17"/>
                <w:szCs w:val="17"/>
                <w:rtl/>
              </w:rPr>
              <w:t>-1.9</w:t>
            </w:r>
          </w:p>
        </w:tc>
        <w:tc>
          <w:tcPr>
            <w:tcW w:type="dxa" w:w="1663"/>
          </w:tcPr>
          <w:p>
            <w:pPr>
              <w:bidi w:val="1"/>
              <w:spacing w:before="0" w:after="0" w:line="264" w:lineRule="auto"/>
            </w:pPr>
            <w:r>
              <w:rPr>
                <w:rFonts w:ascii="Arial" w:hAnsi="Arial" w:cs="Arial" w:eastAsia="Arial"/>
                <w:color w:val="0E1E3A"/>
                <w:sz w:val="17"/>
                <w:szCs w:val="17"/>
                <w:rtl/>
              </w:rPr>
              <w:t>-1.6</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ألفا 8</w:t>
            </w:r>
          </w:p>
        </w:tc>
        <w:tc>
          <w:tcPr>
            <w:tcW w:type="dxa" w:w="1663"/>
          </w:tcPr>
          <w:p>
            <w:pPr>
              <w:bidi w:val="1"/>
              <w:spacing w:before="0" w:after="0" w:line="264" w:lineRule="auto"/>
            </w:pPr>
            <w:r>
              <w:rPr>
                <w:rFonts w:ascii="Arial" w:hAnsi="Arial" w:cs="Arial" w:eastAsia="Arial"/>
                <w:color w:val="0E1E3A"/>
                <w:sz w:val="17"/>
                <w:szCs w:val="17"/>
                <w:rtl/>
              </w:rPr>
              <w:t>-0.19</w:t>
            </w:r>
          </w:p>
        </w:tc>
        <w:tc>
          <w:tcPr>
            <w:tcW w:type="dxa" w:w="1663"/>
          </w:tcPr>
          <w:p>
            <w:pPr>
              <w:bidi w:val="1"/>
              <w:spacing w:before="0" w:after="0" w:line="264" w:lineRule="auto"/>
            </w:pPr>
            <w:r>
              <w:rPr>
                <w:rFonts w:ascii="Arial" w:hAnsi="Arial" w:cs="Arial" w:eastAsia="Arial"/>
                <w:color w:val="0E1E3A"/>
                <w:sz w:val="17"/>
                <w:szCs w:val="17"/>
                <w:rtl/>
              </w:rPr>
              <w:t>-0.08</w:t>
            </w:r>
          </w:p>
        </w:tc>
        <w:tc>
          <w:tcPr>
            <w:tcW w:type="dxa" w:w="1663"/>
          </w:tcPr>
          <w:p>
            <w:pPr>
              <w:bidi w:val="1"/>
              <w:spacing w:before="0" w:after="0" w:line="264" w:lineRule="auto"/>
            </w:pPr>
            <w:r>
              <w:rPr>
                <w:rFonts w:ascii="Arial" w:hAnsi="Arial" w:cs="Arial" w:eastAsia="Arial"/>
                <w:color w:val="0E1E3A"/>
                <w:sz w:val="17"/>
                <w:szCs w:val="17"/>
                <w:rtl/>
              </w:rPr>
              <w:t>-0.10</w:t>
            </w:r>
          </w:p>
        </w:tc>
        <w:tc>
          <w:tcPr>
            <w:tcW w:type="dxa" w:w="1663"/>
          </w:tcPr>
          <w:p>
            <w:pPr>
              <w:bidi w:val="1"/>
              <w:spacing w:before="0" w:after="0" w:line="264" w:lineRule="auto"/>
            </w:pPr>
            <w:r>
              <w:rPr>
                <w:rFonts w:ascii="Arial" w:hAnsi="Arial" w:cs="Arial" w:eastAsia="Arial"/>
                <w:color w:val="0E1E3A"/>
                <w:sz w:val="17"/>
                <w:szCs w:val="17"/>
                <w:rtl/>
              </w:rPr>
              <w:t>-0.11</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مؤشر المعلومات 9</w:t>
            </w:r>
          </w:p>
        </w:tc>
        <w:tc>
          <w:tcPr>
            <w:tcW w:type="dxa" w:w="1663"/>
          </w:tcPr>
          <w:p>
            <w:pPr>
              <w:bidi w:val="1"/>
              <w:spacing w:before="0" w:after="0" w:line="264" w:lineRule="auto"/>
            </w:pPr>
            <w:r>
              <w:rPr>
                <w:rFonts w:ascii="Arial" w:hAnsi="Arial" w:cs="Arial" w:eastAsia="Arial"/>
                <w:color w:val="0E1E3A"/>
                <w:sz w:val="17"/>
                <w:szCs w:val="17"/>
                <w:rtl/>
              </w:rPr>
              <w:t>-0.96</w:t>
            </w:r>
          </w:p>
        </w:tc>
        <w:tc>
          <w:tcPr>
            <w:tcW w:type="dxa" w:w="1663"/>
          </w:tcPr>
          <w:p>
            <w:pPr>
              <w:bidi w:val="1"/>
              <w:spacing w:before="0" w:after="0" w:line="264" w:lineRule="auto"/>
            </w:pPr>
            <w:r>
              <w:rPr>
                <w:rFonts w:ascii="Arial" w:hAnsi="Arial" w:cs="Arial" w:eastAsia="Arial"/>
                <w:color w:val="0E1E3A"/>
                <w:sz w:val="17"/>
                <w:szCs w:val="17"/>
                <w:rtl/>
              </w:rPr>
              <w:t>-0.63</w:t>
            </w:r>
          </w:p>
        </w:tc>
        <w:tc>
          <w:tcPr>
            <w:tcW w:type="dxa" w:w="1663"/>
          </w:tcPr>
          <w:p>
            <w:pPr>
              <w:bidi w:val="1"/>
              <w:spacing w:before="0" w:after="0" w:line="264" w:lineRule="auto"/>
            </w:pPr>
            <w:r>
              <w:rPr>
                <w:rFonts w:ascii="Arial" w:hAnsi="Arial" w:cs="Arial" w:eastAsia="Arial"/>
                <w:color w:val="0E1E3A"/>
                <w:sz w:val="17"/>
                <w:szCs w:val="17"/>
                <w:rtl/>
              </w:rPr>
              <w:t>-0.81</w:t>
            </w:r>
          </w:p>
        </w:tc>
        <w:tc>
          <w:tcPr>
            <w:tcW w:type="dxa" w:w="1663"/>
          </w:tcPr>
          <w:p>
            <w:pPr>
              <w:bidi w:val="1"/>
              <w:spacing w:before="0" w:after="0" w:line="264" w:lineRule="auto"/>
            </w:pPr>
            <w:r>
              <w:rPr>
                <w:rFonts w:ascii="Arial" w:hAnsi="Arial" w:cs="Arial" w:eastAsia="Arial"/>
                <w:color w:val="0E1E3A"/>
                <w:sz w:val="17"/>
                <w:szCs w:val="17"/>
                <w:rtl/>
              </w:rPr>
              <w:t>-0.75</w:t>
            </w:r>
          </w:p>
        </w:tc>
        <w:tc>
          <w:tcPr>
            <w:tcW w:type="dxa" w:w="1663"/>
          </w:tcPr>
          <w:p>
            <w:pPr>
              <w:bidi w:val="1"/>
              <w:spacing w:before="0" w:after="0" w:line="264" w:lineRule="auto"/>
            </w:pPr>
            <w:r>
              <w:rPr>
                <w:rFonts w:ascii="Arial" w:hAnsi="Arial" w:cs="Arial" w:eastAsia="Arial"/>
                <w:color w:val="0E1E3A"/>
                <w:sz w:val="17"/>
                <w:szCs w:val="17"/>
                <w:rtl/>
              </w:rPr>
              <w:t>لا ينطبق</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1. عن الفترة من 30 يونيو 2024م إلى 30 سبتمبر 2024م.</w:t>
      </w:r>
      <w:r>
        <w:br/>
      </w:r>
      <w:r>
        <w:rPr>
          <w:rFonts w:ascii="Arial" w:hAnsi="Arial" w:cs="Arial" w:eastAsia="Arial"/>
          <w:color w:val="5A6478"/>
          <w:sz w:val="17"/>
          <w:szCs w:val="17"/>
          <w:rtl/>
        </w:rPr>
        <w:t>2. عن الفترة من 31 ديسمبر 2023م إلى 30 سبتمبر 2024م.</w:t>
      </w:r>
      <w:r>
        <w:br/>
      </w:r>
      <w:r>
        <w:rPr>
          <w:rFonts w:ascii="Arial" w:hAnsi="Arial" w:cs="Arial" w:eastAsia="Arial"/>
          <w:color w:val="5A6478"/>
          <w:sz w:val="17"/>
          <w:szCs w:val="17"/>
          <w:rtl/>
        </w:rPr>
        <w:t>3. عن الفترة من 30 سبتمبر 2023م إلى 30 سبتمبر 2024م.</w:t>
      </w:r>
      <w:r>
        <w:br/>
      </w:r>
      <w:r>
        <w:rPr>
          <w:rFonts w:ascii="Arial" w:hAnsi="Arial" w:cs="Arial" w:eastAsia="Arial"/>
          <w:color w:val="5A6478"/>
          <w:sz w:val="17"/>
          <w:szCs w:val="17"/>
          <w:rtl/>
        </w:rPr>
        <w:t>4. الانحراف المعياري هو مقياس للمخاطر ويتم حسابه على أنه التذبذب بين العوائد على مدى فترة زمنية. كلما انخفض التقلب، كانت مجموعة العوائد أكثر تجانسًا.</w:t>
      </w:r>
      <w:r>
        <w:br/>
      </w:r>
      <w:r>
        <w:rPr>
          <w:rFonts w:ascii="Arial" w:hAnsi="Arial" w:cs="Arial" w:eastAsia="Arial"/>
          <w:color w:val="5A6478"/>
          <w:sz w:val="17"/>
          <w:szCs w:val="17"/>
          <w:rtl/>
        </w:rPr>
        <w:t>5. مؤشر شارب هو مقياس أداء معدل المخاطر ويتم حسابه على أنه الفرق كعائد فائض لمدير الصندوق على المعدل الخالي من المخاطر، مقسومًا على الانحراف المعياري. كلما زاد معدل شارب للمحفظة، كلما كان أداؤه حسب المخاطر أفضل.</w:t>
      </w:r>
      <w:r>
        <w:br/>
      </w:r>
      <w:r>
        <w:rPr>
          <w:rFonts w:ascii="Arial" w:hAnsi="Arial" w:cs="Arial" w:eastAsia="Arial"/>
          <w:color w:val="5A6478"/>
          <w:sz w:val="17"/>
          <w:szCs w:val="17"/>
          <w:rtl/>
        </w:rPr>
        <w:t>6. خطأ التتبع هو مقياس للمخاطر ويتم حسابه على أنه الانحراف المعياري بين عائد مدير الصندوق وعائد المؤشر. كلما انخفض خطأ التتبع، كلما انحرف مدير الصندوق عن المؤشر.</w:t>
      </w:r>
      <w:r>
        <w:br/>
      </w:r>
      <w:r>
        <w:rPr>
          <w:rFonts w:ascii="Arial" w:hAnsi="Arial" w:cs="Arial" w:eastAsia="Arial"/>
          <w:color w:val="5A6478"/>
          <w:sz w:val="17"/>
          <w:szCs w:val="17"/>
          <w:rtl/>
        </w:rPr>
        <w:t>7. بيتا هو مقياس لمتوسط الحساسية التاريخية لعوائد الصندوق مقارنة بعوائد السوق، ويتم احتسابها عن طريق حساب تغاير سعر الوحدة ومؤشر السوق على تباين مؤشر السوق.</w:t>
      </w:r>
      <w:r>
        <w:br/>
      </w:r>
      <w:r>
        <w:rPr>
          <w:rFonts w:ascii="Arial" w:hAnsi="Arial" w:cs="Arial" w:eastAsia="Arial"/>
          <w:color w:val="5A6478"/>
          <w:sz w:val="17"/>
          <w:szCs w:val="17"/>
          <w:rtl/>
        </w:rPr>
        <w:t>8. ألفا يقيس أي تفوق حققه أداء الصندوق مقارنةً بأداء المؤشر المرتبط به.</w:t>
      </w:r>
      <w:r>
        <w:br/>
      </w:r>
      <w:r>
        <w:rPr>
          <w:rFonts w:ascii="Arial" w:hAnsi="Arial" w:cs="Arial" w:eastAsia="Arial"/>
          <w:color w:val="5A6478"/>
          <w:sz w:val="17"/>
          <w:szCs w:val="17"/>
          <w:rtl/>
        </w:rPr>
        <w:t>9. مؤشر المعلومات هو عبارة عن مقياس أداء معدل المخاطر، ويتم حسابه على أنه العائد النشط لمدير الصندوق مقسومًا على خطأ التتبع الخاص به. كلما ارتفع معدل المعلومات، كلما ازدادت قدرة مدير الصندوق على تحقيق عوائد زائدة لكل وحدة من المخاطر الزائدة.</w:t>
      </w:r>
      <w:r>
        <w:br/>
      </w:r>
      <w:r>
        <w:rPr>
          <w:rFonts w:ascii="Arial" w:hAnsi="Arial" w:cs="Arial" w:eastAsia="Arial"/>
          <w:color w:val="5A6478"/>
          <w:sz w:val="17"/>
          <w:szCs w:val="17"/>
          <w:rtl/>
        </w:rPr>
        <w:t>تم احتساب معايير الأداء والمخاطر بناءً على أسعار تداول للوحدة في السوق.</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3" name="Picture 9049"/>
            <wp:cNvGraphicFramePr>
              <a:graphicFrameLocks noChangeAspect="1"/>
            </wp:cNvGraphicFramePr>
            <a:graphic>
              <a:graphicData uri="http://schemas.openxmlformats.org/drawingml/2006/picture">
                <pic:pic>
                  <pic:nvPicPr>
                    <pic:cNvPr id="0" name="ico_c788ceab6c6867ef93d8dd6b26beef99.png"/>
                    <pic:cNvPicPr/>
                  </pic:nvPicPr>
                  <pic:blipFill>
                    <a:blip r:embed="rId23"/>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مستجدات الصندوق وأية تغيرات أساسية أو غير أساسية تؤثر على عمل الصندوق</w:t>
      </w:r>
    </w:p>
    <w:p>
      <w:pPr>
        <w:bidi w:val="1"/>
        <w:spacing w:before="0" w:after="80" w:line="312" w:lineRule="auto"/>
      </w:pPr>
      <w:r>
        <w:rPr>
          <w:rFonts w:ascii="Arial" w:hAnsi="Arial" w:cs="Arial" w:eastAsia="Arial"/>
          <w:color w:val="0E1E3A"/>
          <w:sz w:val="20"/>
          <w:szCs w:val="20"/>
          <w:rtl/>
        </w:rPr>
        <w:t>لا توجد مستجدات أو تغييرات أساسية أو غير أساسية تؤثر على عمل الصندوق.</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4" name="Picture 9050"/>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نظرة على قطاع الإجارة والتمويل التجاري والصكوك</w:t>
      </w:r>
    </w:p>
    <w:p>
      <w:pPr>
        <w:pStyle w:val="Heading3"/>
        <w:keepNext/>
        <w:bidi w:val="1"/>
        <w:spacing w:before="160" w:after="100" w:line="300" w:lineRule="auto"/>
      </w:pPr>
      <w:r>
        <w:rPr>
          <w:rFonts w:ascii="Arial" w:hAnsi="Arial" w:cs="Arial" w:eastAsia="Arial"/>
          <w:b/>
          <w:bCs/>
          <w:color w:val="12284B"/>
          <w:sz w:val="22"/>
          <w:szCs w:val="22"/>
          <w:rtl/>
        </w:rPr>
        <w:t>نظرة على قطاع الإجارة:</w:t>
      </w:r>
    </w:p>
    <w:p>
      <w:pPr>
        <w:bidi w:val="1"/>
        <w:spacing w:before="0" w:after="40" w:line="300" w:lineRule="auto"/>
        <w:ind w:left="420" w:hanging="280"/>
      </w:pPr>
      <w:r>
        <w:rPr>
          <w:rFonts w:ascii="Arial" w:hAnsi="Arial" w:cs="Arial" w:eastAsia="Arial"/>
          <w:color w:val="3B7DD8"/>
          <w:sz w:val="20"/>
          <w:szCs w:val="20"/>
          <w:rtl/>
        </w:rPr>
        <w:t>•</w:t>
        <w:tab/>
      </w:r>
      <w:r>
        <w:rPr>
          <w:rFonts w:ascii="Arial" w:hAnsi="Arial" w:cs="Arial" w:eastAsia="Arial"/>
          <w:color w:val="0E1E3A"/>
          <w:sz w:val="20"/>
          <w:szCs w:val="20"/>
          <w:rtl/>
        </w:rPr>
        <w:t xml:space="preserve">وفقًا لما أوردته جمعية إجارة وتمويل المعدات ELFA، كان حجم اقتراض الشركات الأمريكية لتمويل الاستثمارات في المعدات في أغسطس 2024م أقل بنسبة </w:t>
      </w:r>
      <w:r>
        <w:rPr>
          <w:rFonts w:ascii="Arial" w:hAnsi="Arial" w:cs="Arial" w:eastAsia="Arial"/>
          <w:color w:val="0E1E3A"/>
          <w:sz w:val="20"/>
          <w:szCs w:val="20"/>
        </w:rPr>
        <w:t>‎10%‎</w:t>
      </w:r>
      <w:r>
        <w:rPr>
          <w:rFonts w:ascii="Arial" w:hAnsi="Arial" w:cs="Arial" w:eastAsia="Arial"/>
          <w:color w:val="0E1E3A"/>
          <w:sz w:val="20"/>
          <w:szCs w:val="20"/>
          <w:rtl/>
        </w:rPr>
        <w:t xml:space="preserve"> مقارنةً بشهر أغسطس من السنة السابقة. وقد انخفضت القروض الجديدة وعقود الإيجار والتسهيلات الائتمانية بنسبة </w:t>
      </w:r>
      <w:r>
        <w:rPr>
          <w:rFonts w:ascii="Arial" w:hAnsi="Arial" w:cs="Arial" w:eastAsia="Arial"/>
          <w:color w:val="0E1E3A"/>
          <w:sz w:val="20"/>
          <w:szCs w:val="20"/>
        </w:rPr>
        <w:t>‎17%‎</w:t>
      </w:r>
      <w:r>
        <w:rPr>
          <w:rFonts w:ascii="Arial" w:hAnsi="Arial" w:cs="Arial" w:eastAsia="Arial"/>
          <w:color w:val="0E1E3A"/>
          <w:sz w:val="20"/>
          <w:szCs w:val="20"/>
          <w:rtl/>
        </w:rPr>
        <w:t xml:space="preserve"> مقارنةً بشهر يوليو. وأشار رئيس جمعية إجارة وتمويل المعدات إلى أن قرار الاحتياطي الفدرالي الأمريكي بخفض أسعار الفائدة يمكن أن يؤدي إلى تحفيز الطلب على المعدات، مع أن بعض الشركات يمكن أن تؤجل استثمارها ريثما تشهد أسعار الفائدة مزيدًا من الانخفاض.</w:t>
      </w:r>
    </w:p>
    <w:p>
      <w:pPr>
        <w:bidi w:val="1"/>
        <w:spacing w:before="0" w:after="40" w:line="300" w:lineRule="auto"/>
        <w:ind w:left="420" w:hanging="280"/>
      </w:pPr>
      <w:r>
        <w:rPr>
          <w:rFonts w:ascii="Arial" w:hAnsi="Arial" w:cs="Arial" w:eastAsia="Arial"/>
          <w:color w:val="3B7DD8"/>
          <w:sz w:val="20"/>
          <w:szCs w:val="20"/>
          <w:rtl/>
        </w:rPr>
        <w:t>•</w:t>
        <w:tab/>
      </w:r>
      <w:r>
        <w:rPr>
          <w:rFonts w:ascii="Arial" w:hAnsi="Arial" w:cs="Arial" w:eastAsia="Arial"/>
          <w:color w:val="0E1E3A"/>
          <w:sz w:val="20"/>
          <w:szCs w:val="20"/>
          <w:rtl/>
        </w:rPr>
        <w:t xml:space="preserve">أظهر مؤشر ELFA للإجارة والتمويل الشهر ي (MLFI-25)، أن حجم الأعمال الجديدة لشهر أغسطس 2024م قد بلغ 9.2 مليار دولار أمريكي، بانخفاض نسبته </w:t>
      </w:r>
      <w:r>
        <w:rPr>
          <w:rFonts w:ascii="Arial" w:hAnsi="Arial" w:cs="Arial" w:eastAsia="Arial"/>
          <w:color w:val="0E1E3A"/>
          <w:sz w:val="20"/>
          <w:szCs w:val="20"/>
        </w:rPr>
        <w:t>‎10%‎</w:t>
      </w:r>
      <w:r>
        <w:rPr>
          <w:rFonts w:ascii="Arial" w:hAnsi="Arial" w:cs="Arial" w:eastAsia="Arial"/>
          <w:color w:val="0E1E3A"/>
          <w:sz w:val="20"/>
          <w:szCs w:val="20"/>
          <w:rtl/>
        </w:rPr>
        <w:t xml:space="preserve"> مقارنةً بشهر أغسطس 2023م، وبانخفاض نسبته </w:t>
      </w:r>
      <w:r>
        <w:rPr>
          <w:rFonts w:ascii="Arial" w:hAnsi="Arial" w:cs="Arial" w:eastAsia="Arial"/>
          <w:color w:val="0E1E3A"/>
          <w:sz w:val="20"/>
          <w:szCs w:val="20"/>
        </w:rPr>
        <w:t>‎17%‎</w:t>
      </w:r>
      <w:r>
        <w:rPr>
          <w:rFonts w:ascii="Arial" w:hAnsi="Arial" w:cs="Arial" w:eastAsia="Arial"/>
          <w:color w:val="0E1E3A"/>
          <w:sz w:val="20"/>
          <w:szCs w:val="20"/>
          <w:rtl/>
        </w:rPr>
        <w:t xml:space="preserve"> مقارنةً بشهر يوليو 2024م، حيث بلغ 11.1 مليار دولار أمريكي. وعلى الرغم من هذا التراجع، كان هناك ارتفاع في الحجم التراكمي للأعمال الجديدة منذ بداية السنة حتى الآن بنسبة </w:t>
      </w:r>
      <w:r>
        <w:rPr>
          <w:rFonts w:ascii="Arial" w:hAnsi="Arial" w:cs="Arial" w:eastAsia="Arial"/>
          <w:color w:val="0E1E3A"/>
          <w:sz w:val="20"/>
          <w:szCs w:val="20"/>
        </w:rPr>
        <w:t>‎3.5%‎</w:t>
      </w:r>
      <w:r>
        <w:rPr>
          <w:rFonts w:ascii="Arial" w:hAnsi="Arial" w:cs="Arial" w:eastAsia="Arial"/>
          <w:color w:val="0E1E3A"/>
          <w:sz w:val="20"/>
          <w:szCs w:val="20"/>
          <w:rtl/>
        </w:rPr>
        <w:t xml:space="preserve"> مقارنةً بنفس الفترة من العام 2023م، ما يشير إلى نمو عام في القطاع.</w:t>
      </w:r>
    </w:p>
    <w:p>
      <w:pPr>
        <w:pStyle w:val="Heading3"/>
        <w:keepNext/>
        <w:bidi w:val="1"/>
        <w:spacing w:before="160" w:after="100" w:line="300" w:lineRule="auto"/>
      </w:pPr>
      <w:r>
        <w:rPr>
          <w:rFonts w:ascii="Arial" w:hAnsi="Arial" w:cs="Arial" w:eastAsia="Arial"/>
          <w:b/>
          <w:bCs/>
          <w:color w:val="12284B"/>
          <w:sz w:val="22"/>
          <w:szCs w:val="22"/>
          <w:rtl/>
        </w:rPr>
        <w:t>نظرة على قطاع التمويل التجاري:</w:t>
      </w:r>
    </w:p>
    <w:p>
      <w:pPr>
        <w:bidi w:val="1"/>
        <w:spacing w:before="0" w:after="40" w:line="300" w:lineRule="auto"/>
        <w:ind w:left="420" w:hanging="280"/>
      </w:pPr>
      <w:r>
        <w:rPr>
          <w:rFonts w:ascii="Arial" w:hAnsi="Arial" w:cs="Arial" w:eastAsia="Arial"/>
          <w:color w:val="3B7DD8"/>
          <w:sz w:val="20"/>
          <w:szCs w:val="20"/>
          <w:rtl/>
        </w:rPr>
        <w:t>•</w:t>
        <w:tab/>
      </w:r>
      <w:r>
        <w:rPr>
          <w:rFonts w:ascii="Arial" w:hAnsi="Arial" w:cs="Arial" w:eastAsia="Arial"/>
          <w:color w:val="0E1E3A"/>
          <w:sz w:val="20"/>
          <w:szCs w:val="20"/>
          <w:rtl/>
        </w:rPr>
        <w:t xml:space="preserve">اتسعت فجوة التمويل التجار ي العالمية لتصل إلى 2.5 ترليون دولار أمريكي، وفقًا لأحدث استطلاع لبنك التنمية الآسيوي في سبتمبر 2023م، مسجلاً زيادة بنسبة </w:t>
      </w:r>
      <w:r>
        <w:rPr>
          <w:rFonts w:ascii="Arial" w:hAnsi="Arial" w:cs="Arial" w:eastAsia="Arial"/>
          <w:color w:val="0E1E3A"/>
          <w:sz w:val="20"/>
          <w:szCs w:val="20"/>
        </w:rPr>
        <w:t>‎47%‎</w:t>
      </w:r>
      <w:r>
        <w:rPr>
          <w:rFonts w:ascii="Arial" w:hAnsi="Arial" w:cs="Arial" w:eastAsia="Arial"/>
          <w:color w:val="0E1E3A"/>
          <w:sz w:val="20"/>
          <w:szCs w:val="20"/>
          <w:rtl/>
        </w:rPr>
        <w:t>، عن الاستطلاع السابق الذي قدّر فجوة التمويل التجار ي للعام 2020م بحوالي 1.7 تريليون دولار أمريكي.</w:t>
      </w:r>
    </w:p>
    <w:p>
      <w:pPr>
        <w:bidi w:val="1"/>
        <w:spacing w:before="0" w:after="40" w:line="300" w:lineRule="auto"/>
        <w:ind w:left="420" w:hanging="280"/>
      </w:pPr>
      <w:r>
        <w:rPr>
          <w:rFonts w:ascii="Arial" w:hAnsi="Arial" w:cs="Arial" w:eastAsia="Arial"/>
          <w:color w:val="3B7DD8"/>
          <w:sz w:val="20"/>
          <w:szCs w:val="20"/>
          <w:rtl/>
        </w:rPr>
        <w:t>•</w:t>
        <w:tab/>
      </w:r>
      <w:r>
        <w:rPr>
          <w:rFonts w:ascii="Arial" w:hAnsi="Arial" w:cs="Arial" w:eastAsia="Arial"/>
          <w:color w:val="0E1E3A"/>
          <w:sz w:val="20"/>
          <w:szCs w:val="20"/>
          <w:rtl/>
        </w:rPr>
        <w:t>أدى خفض أسعار الفائدة منِقبَل بنك الاحتياطي الفيدرالي الأميركي في سبتمبر إلى تحفيز دورة تيسير عالمية، مما أدى إلى خفض تكاليف الاقتراض وتشجيع الاستثمار التجار ي. وفي الوقت نفسه، قدمت الحكومة في الصين حزمة التحفيز الأكثر أهمية للمستهلكين والقطاع المالي منذ الجائحة، بهدف تنشيط الاقتصاد المتعثر.</w:t>
      </w:r>
    </w:p>
    <w:p>
      <w:pPr>
        <w:pStyle w:val="Heading3"/>
        <w:keepNext/>
        <w:bidi w:val="1"/>
        <w:spacing w:before="160" w:after="100" w:line="300" w:lineRule="auto"/>
      </w:pPr>
      <w:r>
        <w:rPr>
          <w:rFonts w:ascii="Arial" w:hAnsi="Arial" w:cs="Arial" w:eastAsia="Arial"/>
          <w:b/>
          <w:bCs/>
          <w:color w:val="12284B"/>
          <w:sz w:val="22"/>
          <w:szCs w:val="22"/>
          <w:rtl/>
        </w:rPr>
        <w:t>نظرة على قطاع الصكوك:</w:t>
      </w:r>
    </w:p>
    <w:p>
      <w:pPr>
        <w:bidi w:val="1"/>
        <w:spacing w:before="0" w:after="40" w:line="300" w:lineRule="auto"/>
        <w:ind w:left="420" w:hanging="280"/>
      </w:pPr>
      <w:r>
        <w:rPr>
          <w:rFonts w:ascii="Arial" w:hAnsi="Arial" w:cs="Arial" w:eastAsia="Arial"/>
          <w:color w:val="3B7DD8"/>
          <w:sz w:val="20"/>
          <w:szCs w:val="20"/>
          <w:rtl/>
        </w:rPr>
        <w:t>•</w:t>
        <w:tab/>
      </w:r>
      <w:r>
        <w:rPr>
          <w:rFonts w:ascii="Arial" w:hAnsi="Arial" w:cs="Arial" w:eastAsia="Arial"/>
          <w:color w:val="0E1E3A"/>
          <w:sz w:val="20"/>
          <w:szCs w:val="20"/>
          <w:rtl/>
        </w:rPr>
        <w:t>تتوقع وكالة التصنيف موديز حدوث زيادة كبيرة في إصدارات الصكوك العالمية في العام 2024م بفعل الطلب القوي من دول مجلس التعاون الخليجي وجنوب شرق آسيا. وتتوقع الوكالة أن يتراوح الحجم الإجمالي للإصدارات بين 200 مليار دولار أمريكي، و 210 مليار ات دولار أمريكي، متجاوزًا بذلك الحجم غير المسبوق الذي وصل إليه في السنة السابقة، والذي بلغ حوالي 200 مليار دولار أمريكي.</w:t>
      </w:r>
    </w:p>
    <w:p>
      <w:pPr>
        <w:bidi w:val="1"/>
        <w:spacing w:before="0" w:after="40" w:line="300" w:lineRule="auto"/>
        <w:ind w:left="420" w:hanging="280"/>
      </w:pPr>
      <w:r>
        <w:rPr>
          <w:rFonts w:ascii="Arial" w:hAnsi="Arial" w:cs="Arial" w:eastAsia="Arial"/>
          <w:color w:val="3B7DD8"/>
          <w:sz w:val="20"/>
          <w:szCs w:val="20"/>
          <w:rtl/>
        </w:rPr>
        <w:t>•</w:t>
        <w:tab/>
      </w:r>
      <w:r>
        <w:rPr>
          <w:rFonts w:ascii="Arial" w:hAnsi="Arial" w:cs="Arial" w:eastAsia="Arial"/>
          <w:color w:val="0E1E3A"/>
          <w:sz w:val="20"/>
          <w:szCs w:val="20"/>
          <w:rtl/>
        </w:rPr>
        <w:t xml:space="preserve">أما من حيث الأداء، فقد ارتفع مؤشر داو جونز للصكوك الأمريكية في الربع الثالث من العام 2024م (بدون إعادة الاستثمار) بنسبة </w:t>
      </w:r>
      <w:r>
        <w:rPr>
          <w:rFonts w:ascii="Arial" w:hAnsi="Arial" w:cs="Arial" w:eastAsia="Arial"/>
          <w:color w:val="0E1E3A"/>
          <w:sz w:val="20"/>
          <w:szCs w:val="20"/>
        </w:rPr>
        <w:t>‎4.57%‎</w:t>
      </w:r>
      <w:r>
        <w:rPr>
          <w:rFonts w:ascii="Arial" w:hAnsi="Arial" w:cs="Arial" w:eastAsia="Arial"/>
          <w:color w:val="0E1E3A"/>
          <w:sz w:val="20"/>
          <w:szCs w:val="20"/>
          <w:rtl/>
        </w:rPr>
        <w:t xml:space="preserve">، بينما حقق مؤشر ستاندرد أند بورز للسندات والصكوك الخليجية مكاسب بنسبة </w:t>
      </w:r>
      <w:r>
        <w:rPr>
          <w:rFonts w:ascii="Arial" w:hAnsi="Arial" w:cs="Arial" w:eastAsia="Arial"/>
          <w:color w:val="0E1E3A"/>
          <w:sz w:val="20"/>
          <w:szCs w:val="20"/>
        </w:rPr>
        <w:t>‎5.02%‎</w:t>
      </w:r>
      <w:r>
        <w:rPr>
          <w:rFonts w:ascii="Arial" w:hAnsi="Arial" w:cs="Arial" w:eastAsia="Arial"/>
          <w:color w:val="0E1E3A"/>
          <w:sz w:val="20"/>
          <w:szCs w:val="20"/>
          <w:rtl/>
        </w:rPr>
        <w:t>.</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5" name="Picture 9051"/>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أداء سعر الوحدة المتداولة في السوق منذ بدء الصندوق</w:t>
      </w:r>
    </w:p>
    <w:p>
      <w:pPr>
        <w:bidi w:val="1"/>
        <w:spacing w:before="0" w:after="80" w:line="240" w:lineRule="auto"/>
        <w:jc w:val="center"/>
      </w:pPr>
      <w:r>
        <w:drawing>
          <wp:inline xmlns:a="http://schemas.openxmlformats.org/drawingml/2006/main" xmlns:pic="http://schemas.openxmlformats.org/drawingml/2006/picture">
            <wp:extent cx="6336000" cy="2825514"/>
            <wp:docPr id="26" name="Picture 9052"/>
            <wp:cNvGraphicFramePr>
              <a:graphicFrameLocks noChangeAspect="1"/>
            </wp:cNvGraphicFramePr>
            <a:graphic>
              <a:graphicData uri="http://schemas.openxmlformats.org/drawingml/2006/picture">
                <pic:pic>
                  <pic:nvPicPr>
                    <pic:cNvPr id="0" name="x6.j.jpg"/>
                    <pic:cNvPicPr/>
                  </pic:nvPicPr>
                  <pic:blipFill>
                    <a:blip r:embed="rId24"/>
                    <a:stretch>
                      <a:fillRect/>
                    </a:stretch>
                  </pic:blipFill>
                  <pic:spPr>
                    <a:xfrm>
                      <a:off x="0" y="0"/>
                      <a:ext cx="6336000" cy="2825514"/>
                    </a:xfrm>
                    <a:prstGeom prst="rect"/>
                  </pic:spPr>
                </pic:pic>
              </a:graphicData>
            </a:graphic>
          </wp:inline>
        </w:drawing>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7" name="Picture 9053"/>
            <wp:cNvGraphicFramePr>
              <a:graphicFrameLocks noChangeAspect="1"/>
            </wp:cNvGraphicFramePr>
            <a:graphic>
              <a:graphicData uri="http://schemas.openxmlformats.org/drawingml/2006/picture">
                <pic:pic>
                  <pic:nvPicPr>
                    <pic:cNvPr id="0" name="ico_8eba3796ad497c7a142d47da7c90fea0.png"/>
                    <pic:cNvPicPr/>
                  </pic:nvPicPr>
                  <pic:blipFill>
                    <a:blip r:embed="rId2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للحصول على المزيد من المعلومات</w:t>
      </w:r>
    </w:p>
    <w:p>
      <w:pPr>
        <w:bidi w:val="1"/>
        <w:spacing w:before="0" w:after="80" w:line="312" w:lineRule="auto"/>
      </w:pPr>
      <w:r>
        <w:rPr>
          <w:rFonts w:ascii="Arial" w:hAnsi="Arial" w:cs="Arial" w:eastAsia="Arial"/>
          <w:color w:val="0E1E3A"/>
          <w:sz w:val="20"/>
          <w:szCs w:val="20"/>
          <w:rtl/>
        </w:rPr>
        <w:t>شركة الخبير المالية</w:t>
      </w:r>
      <w:r>
        <w:br/>
      </w:r>
      <w:r>
        <w:rPr>
          <w:rFonts w:ascii="Arial" w:hAnsi="Arial" w:cs="Arial" w:eastAsia="Arial"/>
          <w:color w:val="0E1E3A"/>
          <w:sz w:val="20"/>
          <w:szCs w:val="20"/>
          <w:rtl/>
        </w:rPr>
        <w:t>ص.ب 128289 جدة 21362</w:t>
      </w:r>
      <w:r>
        <w:br/>
      </w:r>
      <w:r>
        <w:rPr>
          <w:rFonts w:ascii="Arial" w:hAnsi="Arial" w:cs="Arial" w:eastAsia="Arial"/>
          <w:color w:val="0E1E3A"/>
          <w:sz w:val="20"/>
          <w:szCs w:val="20"/>
          <w:rtl/>
        </w:rPr>
        <w:t>المملكة العربية السعودية</w:t>
      </w:r>
      <w:r>
        <w:br/>
      </w:r>
      <w:r>
        <w:rPr>
          <w:rFonts w:ascii="Arial" w:hAnsi="Arial" w:cs="Arial" w:eastAsia="Arial"/>
          <w:color w:val="0E1E3A"/>
          <w:sz w:val="20"/>
          <w:szCs w:val="20"/>
          <w:rtl/>
        </w:rPr>
        <w:t xml:space="preserve">هاتف: </w:t>
      </w:r>
      <w:r>
        <w:rPr>
          <w:rFonts w:ascii="Arial" w:hAnsi="Arial" w:cs="Arial" w:eastAsia="Arial"/>
          <w:color w:val="0E1E3A"/>
          <w:sz w:val="20"/>
          <w:szCs w:val="20"/>
        </w:rPr>
        <w:t>‎+966 12 658 8888‎</w:t>
      </w:r>
      <w:r>
        <w:br/>
      </w:r>
      <w:r>
        <w:rPr>
          <w:rFonts w:ascii="Arial" w:hAnsi="Arial" w:cs="Arial" w:eastAsia="Arial"/>
          <w:color w:val="0E1E3A"/>
          <w:sz w:val="20"/>
          <w:szCs w:val="20"/>
          <w:rtl/>
        </w:rPr>
        <w:t xml:space="preserve">فاكس: </w:t>
      </w:r>
      <w:r>
        <w:rPr>
          <w:rFonts w:ascii="Arial" w:hAnsi="Arial" w:cs="Arial" w:eastAsia="Arial"/>
          <w:color w:val="0E1E3A"/>
          <w:sz w:val="20"/>
          <w:szCs w:val="20"/>
        </w:rPr>
        <w:t>‎+966 12 658 6663‎</w:t>
      </w:r>
      <w:r>
        <w:br/>
      </w:r>
      <w:r>
        <w:rPr>
          <w:rFonts w:ascii="Arial" w:hAnsi="Arial" w:cs="Arial" w:eastAsia="Arial"/>
          <w:color w:val="0E1E3A"/>
          <w:sz w:val="20"/>
          <w:szCs w:val="20"/>
          <w:rtl/>
        </w:rPr>
        <w:t>البريد الإلكتروني: info@alkhabeer.com</w:t>
      </w:r>
      <w:r>
        <w:br/>
      </w:r>
      <w:r>
        <w:rPr>
          <w:rFonts w:ascii="Arial" w:hAnsi="Arial" w:cs="Arial" w:eastAsia="Arial"/>
          <w:color w:val="0E1E3A"/>
          <w:sz w:val="20"/>
          <w:szCs w:val="20"/>
          <w:rtl/>
        </w:rPr>
        <w:t>رقم السجل التجاري: 4030177445</w:t>
      </w:r>
      <w:r>
        <w:br/>
      </w:r>
      <w:r>
        <w:rPr>
          <w:rFonts w:ascii="Arial" w:hAnsi="Arial" w:cs="Arial" w:eastAsia="Arial"/>
          <w:color w:val="0E1E3A"/>
          <w:sz w:val="20"/>
          <w:szCs w:val="20"/>
          <w:rtl/>
        </w:rPr>
        <w:t xml:space="preserve">الرخصة الصادرة من هيئة السوق المالية: </w:t>
      </w:r>
      <w:r>
        <w:rPr>
          <w:rFonts w:ascii="Arial" w:hAnsi="Arial" w:cs="Arial" w:eastAsia="Arial"/>
          <w:color w:val="0E1E3A"/>
          <w:sz w:val="20"/>
          <w:szCs w:val="20"/>
        </w:rPr>
        <w:t>‎07074-37‎</w:t>
      </w:r>
      <w:r>
        <w:br/>
      </w:r>
      <w:r>
        <w:rPr>
          <w:rFonts w:ascii="Arial" w:hAnsi="Arial" w:cs="Arial" w:eastAsia="Arial"/>
          <w:color w:val="0E1E3A"/>
          <w:sz w:val="20"/>
          <w:szCs w:val="20"/>
          <w:rtl/>
        </w:rPr>
        <w:t>www.alkhabeer.com</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8" name="Picture 9054"/>
            <wp:cNvGraphicFramePr>
              <a:graphicFrameLocks noChangeAspect="1"/>
            </wp:cNvGraphicFramePr>
            <a:graphic>
              <a:graphicData uri="http://schemas.openxmlformats.org/drawingml/2006/picture">
                <pic:pic>
                  <pic:nvPicPr>
                    <pic:cNvPr id="0" name="ico_31799530e5dd3dc5b4ca7f2d37945432.png"/>
                    <pic:cNvPicPr/>
                  </pic:nvPicPr>
                  <pic:blipFill>
                    <a:blip r:embed="rId26"/>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إشعار مهم</w:t>
      </w:r>
    </w:p>
    <w:p>
      <w:pPr>
        <w:bidi w:val="1"/>
        <w:spacing w:before="0" w:after="80" w:line="312" w:lineRule="auto"/>
      </w:pPr>
      <w:r>
        <w:rPr>
          <w:rFonts w:ascii="Arial" w:hAnsi="Arial" w:cs="Arial" w:eastAsia="Arial"/>
          <w:color w:val="5A6478"/>
          <w:sz w:val="17"/>
          <w:szCs w:val="17"/>
          <w:rtl/>
        </w:rPr>
        <w:t>لا تمثل هذه الوثيقة عرضًا للشراء، أو الاكتتاب، أو المشاركة بأي شكل في صندوق "الخبير للدخل المتنوع المتداول"، ولا تشكل الوثيقة (أو أي جزءٍ منها) أساسًا، ولا ينبغي الاعتماد عليها للقيام بما تقدم أو محفزًا لإبرام أي تعاقد مهما كان نوعه. يجب على المستثمرين المحتملين قراءة شروط وأحكام صندوق "الخبير للدخل" وما ورد فيها بشأن مخاطر الاستثمار ووثائقه الأخرى بعناية ودقة قبل اتخاذ القرار وذلك من خلال الموقع الإلكتروني لشركة "الخبير المالية": www.alkhabeer.com. هذا الاستثمار ليس وديعة نقدية لدى بنك محلي. ويمكن أن ترتفع أو تنخفض قيمة الاستثمار وأي دخل آخر متحقق منه. كما يتوجب على جميع المستثمرين الراغبين في الاستثمار التوصل إلى قرارهم بالتشاور مع مستشاريهم الماليين والقانونيين وتقييم جميع المخاطر التي ينطوي عليها الاستثمار. كما لا يمكن إعطاء ضمان بأن النتائج المستهدفة والمتوقعة سوف تتحقق، وبالإضافة إلى ذلك، فإن الأداء السابق لا يضمن النتائج المستقبلية للصندوق. يعد استثمار المستثمر في الصندوق إقرارًا منه باطلاعه على شروط وأحكام الصندوق وقبوله بها. تنتفي المسؤولية عن مدير الصندوق أو أي من تابعيه في حال وقوع أي خسارة مالية للصندوق ما لم يكن ذلك ناتجًا عن أسباب متعمدة من قبل مدير الصندوق. الاستثمار في الصندوق خاضع للرسوم كما هو مذكور في الشروط والأحكام.</w:t>
      </w:r>
    </w:p>
    <w:sectPr w:rsidR="00FC693F" w:rsidRPr="0006063C" w:rsidSect="00034616">
      <w:headerReference w:type="default" r:id="rId9"/>
      <w:headerReference w:type="first" r:id="rId11"/>
      <w:footerReference w:type="default" r:id="rId10"/>
      <w:footerReference w:type="first" r:id="rId12"/>
      <w:pgSz w:w="11906" w:h="16838"/>
      <w:pgMar w:top="1247" w:right="964" w:bottom="1134" w:left="964" w:header="567" w:footer="510" w:gutter="0"/>
      <w:cols w:space="720"/>
      <w:titlePg/>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spacing w:before="0" w:after="0" w:line="240" w:lineRule="auto"/>
    </w:pPr>
    <w:r/>
    <w:r>
      <w:rPr>
        <w:rFonts w:ascii="Arial" w:hAnsi="Arial" w:cs="Arial" w:eastAsia="Arial"/>
        <w:color w:val="5A6478"/>
        <w:sz w:val="15"/>
        <w:szCs w:val="15"/>
        <w:rtl/>
      </w:rPr>
      <w:t xml:space="preserve">الخبير المالية · alkhabeer.com      </w:t>
    </w:r>
    <w:r>
      <w:rPr>
        <w:rFonts w:ascii="Arial" w:hAnsi="Arial" w:cs="Arial" w:eastAsia="Arial"/>
        <w:color w:val="5A6478"/>
        <w:sz w:val="15"/>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spacing w:before="0" w:after="0" w:line="240" w:lineRule="auto"/>
    </w:pPr>
    <w:r/>
    <w:r>
      <w:rPr>
        <w:rFonts w:ascii="Arial" w:hAnsi="Arial" w:cs="Arial" w:eastAsia="Arial"/>
        <w:color w:val="5A6478"/>
        <w:sz w:val="15"/>
        <w:szCs w:val="15"/>
        <w:rtl/>
      </w:rPr>
      <w:t xml:space="preserve">الخبير المالية · alkhabeer.com      </w:t>
    </w:r>
    <w:r>
      <w:rPr>
        <w:rFonts w:ascii="Arial" w:hAnsi="Arial" w:cs="Arial" w:eastAsia="Arial"/>
        <w:color w:val="5A6478"/>
        <w:sz w:val="15"/>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DCE3EE"/>
      </w:pBdr>
      <w:bidi w:val="1"/>
      <w:spacing w:before="0" w:after="0" w:line="240" w:lineRule="auto"/>
    </w:pPr>
    <w:r/>
    <w:r>
      <w:rPr>
        <w:rFonts w:ascii="Arial" w:hAnsi="Arial" w:cs="Arial" w:eastAsia="Arial"/>
        <w:color w:val="5A6478"/>
        <w:sz w:val="15"/>
        <w:szCs w:val="15"/>
        <w:rtl/>
      </w:rPr>
      <w:t>البيان الربع سنوي</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Arial" w:hAnsi="Aria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Arial" w:hAnsi="Aria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Arial" w:hAnsi="Aria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Arial" w:hAnsi="Aria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ar-SA"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bidi w:val="1"/>
    </w:pPr>
    <w:rPr>
      <w:rFonts w:ascii="Arial" w:hAnsi="Arial" w:cs="Arial" w:eastAsia="Arial"/>
      <w:sz w:val="20"/>
      <w:rt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bidi w:val="1"/>
      <w:spacing w:before="0" w:after="100"/>
      <w:outlineLvl w:val="0"/>
    </w:pPr>
    <w:rPr>
      <w:rFonts w:ascii="Arial" w:hAnsi="Arial" w:cs="Arial" w:eastAsia="Arial"/>
      <w:b/>
      <w:bCs/>
      <w:color w:val="12284B"/>
      <w:sz w:val="36"/>
      <w:szCs w:val="28"/>
      <w:rtl/>
    </w:rPr>
  </w:style>
  <w:style w:type="paragraph" w:styleId="Heading2">
    <w:name w:val="heading 2"/>
    <w:basedOn w:val="Normal"/>
    <w:next w:val="Normal"/>
    <w:link w:val="Heading2Char"/>
    <w:uiPriority w:val="9"/>
    <w:unhideWhenUsed/>
    <w:qFormat/>
    <w:rsid w:val="00FC693F"/>
    <w:pPr>
      <w:keepNext/>
      <w:keepLines/>
      <w:bidi w:val="1"/>
      <w:spacing w:before="200" w:after="100"/>
      <w:outlineLvl w:val="1"/>
    </w:pPr>
    <w:rPr>
      <w:rFonts w:ascii="Arial" w:hAnsi="Arial" w:cs="Arial" w:eastAsia="Arial"/>
      <w:b/>
      <w:bCs/>
      <w:color w:val="12284B"/>
      <w:sz w:val="26"/>
      <w:szCs w:val="26"/>
      <w:rtl/>
    </w:rPr>
  </w:style>
  <w:style w:type="paragraph" w:styleId="Heading3">
    <w:name w:val="heading 3"/>
    <w:basedOn w:val="Normal"/>
    <w:next w:val="Normal"/>
    <w:link w:val="Heading3Char"/>
    <w:uiPriority w:val="9"/>
    <w:unhideWhenUsed/>
    <w:qFormat/>
    <w:rsid w:val="00FC693F"/>
    <w:pPr>
      <w:keepNext/>
      <w:keepLines/>
      <w:bidi w:val="1"/>
      <w:spacing w:before="200" w:after="100"/>
      <w:outlineLvl w:val="2"/>
    </w:pPr>
    <w:rPr>
      <w:rFonts w:ascii="Arial" w:hAnsi="Arial" w:cs="Arial" w:eastAsia="Arial"/>
      <w:b/>
      <w:bCs/>
      <w:color w:val="12284B"/>
      <w:sz w:val="22"/>
      <w:rtl/>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bidi w:val="1"/>
      <w:spacing w:after="300" w:line="240" w:lineRule="auto"/>
      <w:contextualSpacing/>
    </w:pPr>
    <w:rPr>
      <w:rFonts w:ascii="Arial" w:hAnsi="Arial" w:cs="Arial" w:eastAsia="Arial"/>
      <w:color w:val="17365D" w:themeColor="text2" w:themeShade="BF"/>
      <w:spacing w:val="5"/>
      <w:kern w:val="28"/>
      <w:sz w:val="52"/>
      <w:szCs w:val="52"/>
      <w:rtl/>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bidi w:val="1"/>
      <w:ind w:left="720"/>
      <w:contextualSpacing/>
    </w:pPr>
    <w:rPr>
      <w:rFonts w:ascii="Arial" w:hAnsi="Arial" w:cs="Arial" w:eastAsia="Arial"/>
      <w:rtl/>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sz w:val="22"/>
        <w:szCs w:val="22"/>
        <w:lang w:val="en-US" w:eastAsia="Arial"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jp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jpg"/><Relationship Id="rId25" Type="http://schemas.openxmlformats.org/officeDocument/2006/relationships/image" Target="media/image13.png"/><Relationship Id="rId26"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ajorFont>
      <a:min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صندوق الخبير للدخل المتنوع المتداول — البيان الربع سنوي الربع الثالث 2024م</dc:title>
  <dc:subject/>
  <dc:creator>Alkhabeer Capital</dc:creator>
  <cp:keywords/>
  <dc:description>generated by python-docx</dc:description>
  <cp:lastModifiedBy/>
  <cp:revision>1</cp:revision>
  <dcterms:created xsi:type="dcterms:W3CDTF">2013-12-23T23:15:00Z</dcterms:created>
  <dcterms:modified xsi:type="dcterms:W3CDTF">2013-12-23T23:15:00Z</dcterms:modified>
  <cp:category/>
  <dc:language>ar-SA</dc:language>
</cp:coreProperties>
</file>