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7"/>
            <wp:cNvGraphicFramePr/>
            <a:graphic>
              <a:graphicData uri="http://schemas.openxmlformats.org/drawingml/2006/picture">
                <pic:pic>
                  <pic:nvPicPr>
                    <pic:cNvPr id="9027" name="banner902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9.6216</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485,014,561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27,957,672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5.76%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6.15%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2.7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485,014,561</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454,921,342</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0.60%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0.63%</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2,889,117</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457,067,631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4"/>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711351"/>
            <wp:docPr id="10" name="Picture 9036"/>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711351"/>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147,662,751</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181,787,793</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33,119,830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109,976,629</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12,467,558</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3" name="Picture 9039"/>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326,714,958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296,927,632</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2024)</w:t>
            </w:r>
          </w:p>
        </w:tc>
        <w:tc>
          <w:tcPr>
            <w:tcW w:type="dxa" w:w="6860"/>
          </w:tcPr>
          <w:p>
            <w:pPr>
              <w:spacing w:before="0" w:after="0" w:line="276" w:lineRule="auto"/>
            </w:pPr>
            <w:r>
              <w:rPr>
                <w:rFonts w:ascii="Arial" w:hAnsi="Arial" w:cs="Arial" w:eastAsia="Arial"/>
                <w:b/>
                <w:bCs/>
                <w:color w:val="0E1E3A"/>
                <w:sz w:val="18"/>
                <w:szCs w:val="18"/>
              </w:rPr>
              <w:t>SAR 6.28</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30 JUNE 2024 TO 30 SEPTEMBER 2024)</w:t>
            </w:r>
          </w:p>
        </w:tc>
        <w:tc>
          <w:tcPr>
            <w:tcW w:type="dxa" w:w="6860"/>
          </w:tcPr>
          <w:p>
            <w:pPr>
              <w:spacing w:before="0" w:after="0" w:line="276" w:lineRule="auto"/>
            </w:pPr>
            <w:r>
              <w:rPr>
                <w:rFonts w:ascii="Arial" w:hAnsi="Arial" w:cs="Arial" w:eastAsia="Arial"/>
                <w:b/>
                <w:bCs/>
                <w:color w:val="0E1E3A"/>
                <w:sz w:val="18"/>
                <w:szCs w:val="18"/>
              </w:rPr>
              <w:t>-9.12%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2024)</w:t>
            </w:r>
          </w:p>
        </w:tc>
        <w:tc>
          <w:tcPr>
            <w:tcW w:type="dxa" w:w="6860"/>
          </w:tcPr>
          <w:p>
            <w:pPr>
              <w:spacing w:before="0" w:after="0" w:line="276" w:lineRule="auto"/>
            </w:pPr>
            <w:r>
              <w:rPr>
                <w:rFonts w:ascii="Arial" w:hAnsi="Arial" w:cs="Arial" w:eastAsia="Arial"/>
                <w:b/>
                <w:bCs/>
                <w:color w:val="0E1E3A"/>
                <w:sz w:val="18"/>
                <w:szCs w:val="18"/>
              </w:rPr>
              <w:t>-37.20%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7.23</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6.20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4.46%</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11,835,352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SEPTEMBER 2024)</w:t>
            </w:r>
          </w:p>
        </w:tc>
        <w:tc>
          <w:tcPr>
            <w:tcW w:type="dxa" w:w="6860"/>
          </w:tcPr>
          <w:p>
            <w:pPr>
              <w:spacing w:before="0" w:after="0" w:line="276" w:lineRule="auto"/>
            </w:pPr>
            <w:r>
              <w:rPr>
                <w:rFonts w:ascii="Arial" w:hAnsi="Arial" w:cs="Arial" w:eastAsia="Arial"/>
                <w:b/>
                <w:bCs/>
                <w:color w:val="0E1E3A"/>
                <w:sz w:val="18"/>
                <w:szCs w:val="18"/>
              </w:rPr>
              <w:t>3.99%</w:t>
            </w:r>
          </w:p>
        </w:tc>
      </w:tr>
    </w:tbl>
    <w:p>
      <w:pPr>
        <w:spacing w:before="0" w:after="40" w:line="300" w:lineRule="auto"/>
      </w:pPr>
    </w:p>
    <w:p>
      <w:pPr>
        <w:spacing w:before="0" w:after="80" w:line="312" w:lineRule="auto"/>
      </w:pPr>
      <w:r>
        <w:rPr>
          <w:rFonts w:ascii="Arial" w:hAnsi="Arial" w:cs="Arial" w:eastAsia="Arial"/>
          <w:color w:val="5A6478"/>
          <w:sz w:val="17"/>
          <w:szCs w:val="17"/>
        </w:rPr>
        <w:t>* From 1 July 2024 to 30 September 2024.</w:t>
      </w:r>
      <w:r>
        <w:br/>
      </w:r>
      <w:r>
        <w:rPr>
          <w:rFonts w:ascii="Arial" w:hAnsi="Arial" w:cs="Arial" w:eastAsia="Arial"/>
          <w:color w:val="5A6478"/>
          <w:sz w:val="17"/>
          <w:szCs w:val="17"/>
        </w:rPr>
        <w:t>** From 1 January 2024 to 30 June 2024 (Distributed Dividends paid on 20 August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-9.12%</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-37.20%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-19.16%</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 SOFR)</w:t>
      </w:r>
      <w:r>
        <w:br/>
      </w:r>
      <w:r>
        <w:rPr>
          <w:rFonts w:ascii="Arial" w:hAnsi="Arial" w:cs="Arial" w:eastAsia="Arial"/>
          <w:color w:val="5A6478"/>
          <w:sz w:val="17"/>
          <w:szCs w:val="17"/>
        </w:rPr>
        <w:t>12 months + 300 basis points.</w:t>
      </w:r>
      <w:r>
        <w:br/>
      </w:r>
      <w:r>
        <w:rPr>
          <w:rFonts w:ascii="Arial" w:hAnsi="Arial" w:cs="Arial" w:eastAsia="Arial"/>
          <w:color w:val="5A6478"/>
          <w:sz w:val="17"/>
          <w:szCs w:val="17"/>
        </w:rPr>
        <w:t>** Unit Price as at 30 June 2024 = SAR 6.91.</w:t>
      </w:r>
      <w:r>
        <w:br/>
      </w:r>
      <w:r>
        <w:rPr>
          <w:rFonts w:ascii="Arial" w:hAnsi="Arial" w:cs="Arial" w:eastAsia="Arial"/>
          <w:color w:val="5A6478"/>
          <w:sz w:val="17"/>
          <w:szCs w:val="17"/>
        </w:rPr>
        <w:t>*** From the Fund’s Date of Inception to end Q3 2024.</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5"/>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9.7123</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9.6216</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-0.93%</w:t>
            </w:r>
          </w:p>
        </w:tc>
        <w:tc>
          <w:tcPr>
            <w:tcW w:type="dxa" w:w="3326"/>
          </w:tcPr>
          <w:p>
            <w:pPr>
              <w:spacing w:before="0" w:after="0" w:line="264" w:lineRule="auto"/>
            </w:pPr>
            <w:r>
              <w:rPr>
                <w:rFonts w:ascii="Arial" w:hAnsi="Arial" w:cs="Arial" w:eastAsia="Arial"/>
                <w:color w:val="0E1E3A"/>
                <w:sz w:val="17"/>
                <w:szCs w:val="17"/>
              </w:rPr>
              <w:t>1.79%***</w:t>
            </w:r>
          </w:p>
        </w:tc>
      </w:tr>
    </w:tbl>
    <w:p>
      <w:pPr>
        <w:spacing w:before="0" w:after="40" w:line="300" w:lineRule="auto"/>
      </w:pPr>
    </w:p>
    <w:p>
      <w:pPr>
        <w:spacing w:before="0" w:after="80" w:line="312" w:lineRule="auto"/>
      </w:pPr>
      <w:r>
        <w:rPr>
          <w:rFonts w:ascii="Arial" w:hAnsi="Arial" w:cs="Arial" w:eastAsia="Arial"/>
          <w:color w:val="5A6478"/>
          <w:sz w:val="17"/>
          <w:szCs w:val="17"/>
        </w:rPr>
        <w:t>* As at 30 June 2024.</w:t>
      </w:r>
      <w:r>
        <w:br/>
      </w:r>
      <w:r>
        <w:rPr>
          <w:rFonts w:ascii="Arial" w:hAnsi="Arial" w:cs="Arial" w:eastAsia="Arial"/>
          <w:color w:val="5A6478"/>
          <w:sz w:val="17"/>
          <w:szCs w:val="17"/>
        </w:rPr>
        <w:t>** As at 30 September 2024.</w:t>
      </w:r>
      <w:r>
        <w:br/>
      </w:r>
      <w:r>
        <w:rPr>
          <w:rFonts w:ascii="Arial" w:hAnsi="Arial" w:cs="Arial" w:eastAsia="Arial"/>
          <w:color w:val="5A6478"/>
          <w:sz w:val="17"/>
          <w:szCs w:val="17"/>
        </w:rPr>
        <w:t>*** Benchmark average return is 7.93% per annum, or a return of 1.79%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1.95%</w:t>
            </w:r>
          </w:p>
        </w:tc>
        <w:tc>
          <w:tcPr>
            <w:tcW w:type="dxa" w:w="1663"/>
          </w:tcPr>
          <w:p>
            <w:pPr>
              <w:spacing w:before="0" w:after="0" w:line="264" w:lineRule="auto"/>
            </w:pPr>
            <w:r>
              <w:rPr>
                <w:rFonts w:ascii="Arial" w:hAnsi="Arial" w:cs="Arial" w:eastAsia="Arial"/>
                <w:color w:val="0E1E3A"/>
                <w:sz w:val="17"/>
                <w:szCs w:val="17"/>
              </w:rPr>
              <w:t>2.78%</w:t>
            </w:r>
          </w:p>
        </w:tc>
        <w:tc>
          <w:tcPr>
            <w:tcW w:type="dxa" w:w="1663"/>
          </w:tcPr>
          <w:p>
            <w:pPr>
              <w:spacing w:before="0" w:after="0" w:line="264" w:lineRule="auto"/>
            </w:pPr>
            <w:r>
              <w:rPr>
                <w:rFonts w:ascii="Arial" w:hAnsi="Arial" w:cs="Arial" w:eastAsia="Arial"/>
                <w:color w:val="0E1E3A"/>
                <w:sz w:val="17"/>
                <w:szCs w:val="17"/>
              </w:rPr>
              <w:t>4.46%</w:t>
            </w:r>
          </w:p>
        </w:tc>
        <w:tc>
          <w:tcPr>
            <w:tcW w:type="dxa" w:w="1663"/>
          </w:tcPr>
          <w:p>
            <w:pPr>
              <w:spacing w:before="0" w:after="0" w:line="264" w:lineRule="auto"/>
            </w:pPr>
            <w:r>
              <w:rPr>
                <w:rFonts w:ascii="Arial" w:hAnsi="Arial" w:cs="Arial" w:eastAsia="Arial"/>
                <w:color w:val="0E1E3A"/>
                <w:sz w:val="17"/>
                <w:szCs w:val="17"/>
              </w:rPr>
              <w:t>15.54%</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1.79%</w:t>
            </w:r>
          </w:p>
        </w:tc>
        <w:tc>
          <w:tcPr>
            <w:tcW w:type="dxa" w:w="1663"/>
          </w:tcPr>
          <w:p>
            <w:pPr>
              <w:spacing w:before="0" w:after="0" w:line="264" w:lineRule="auto"/>
            </w:pPr>
            <w:r>
              <w:rPr>
                <w:rFonts w:ascii="Arial" w:hAnsi="Arial" w:cs="Arial" w:eastAsia="Arial"/>
                <w:color w:val="0E1E3A"/>
                <w:sz w:val="17"/>
                <w:szCs w:val="17"/>
              </w:rPr>
              <w:t>5.81%</w:t>
            </w:r>
          </w:p>
        </w:tc>
        <w:tc>
          <w:tcPr>
            <w:tcW w:type="dxa" w:w="1663"/>
          </w:tcPr>
          <w:p>
            <w:pPr>
              <w:spacing w:before="0" w:after="0" w:line="264" w:lineRule="auto"/>
            </w:pPr>
            <w:r>
              <w:rPr>
                <w:rFonts w:ascii="Arial" w:hAnsi="Arial" w:cs="Arial" w:eastAsia="Arial"/>
                <w:color w:val="0E1E3A"/>
                <w:sz w:val="17"/>
                <w:szCs w:val="17"/>
              </w:rPr>
              <w:t>7.93%</w:t>
            </w:r>
          </w:p>
        </w:tc>
        <w:tc>
          <w:tcPr>
            <w:tcW w:type="dxa" w:w="1663"/>
          </w:tcPr>
          <w:p>
            <w:pPr>
              <w:spacing w:before="0" w:after="0" w:line="264" w:lineRule="auto"/>
            </w:pPr>
            <w:r>
              <w:rPr>
                <w:rFonts w:ascii="Arial" w:hAnsi="Arial" w:cs="Arial" w:eastAsia="Arial"/>
                <w:color w:val="0E1E3A"/>
                <w:sz w:val="17"/>
                <w:szCs w:val="17"/>
              </w:rPr>
              <w:t>25.97%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0.16%</w:t>
            </w:r>
          </w:p>
        </w:tc>
        <w:tc>
          <w:tcPr>
            <w:tcW w:type="dxa" w:w="1663"/>
          </w:tcPr>
          <w:p>
            <w:pPr>
              <w:spacing w:before="0" w:after="0" w:line="264" w:lineRule="auto"/>
            </w:pPr>
            <w:r>
              <w:rPr>
                <w:rFonts w:ascii="Arial" w:hAnsi="Arial" w:cs="Arial" w:eastAsia="Arial"/>
                <w:color w:val="0E1E3A"/>
                <w:sz w:val="17"/>
                <w:szCs w:val="17"/>
              </w:rPr>
              <w:t>-3.03%</w:t>
            </w:r>
          </w:p>
        </w:tc>
        <w:tc>
          <w:tcPr>
            <w:tcW w:type="dxa" w:w="1663"/>
          </w:tcPr>
          <w:p>
            <w:pPr>
              <w:spacing w:before="0" w:after="0" w:line="264" w:lineRule="auto"/>
            </w:pPr>
            <w:r>
              <w:rPr>
                <w:rFonts w:ascii="Arial" w:hAnsi="Arial" w:cs="Arial" w:eastAsia="Arial"/>
                <w:color w:val="0E1E3A"/>
                <w:sz w:val="17"/>
                <w:szCs w:val="17"/>
              </w:rPr>
              <w:t>-3.47%</w:t>
            </w:r>
          </w:p>
        </w:tc>
        <w:tc>
          <w:tcPr>
            <w:tcW w:type="dxa" w:w="1663"/>
          </w:tcPr>
          <w:p>
            <w:pPr>
              <w:spacing w:before="0" w:after="0" w:line="264" w:lineRule="auto"/>
            </w:pPr>
            <w:r>
              <w:rPr>
                <w:rFonts w:ascii="Arial" w:hAnsi="Arial" w:cs="Arial" w:eastAsia="Arial"/>
                <w:color w:val="0E1E3A"/>
                <w:sz w:val="17"/>
                <w:szCs w:val="17"/>
              </w:rPr>
              <w:t>-10.43%</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30 June 2024 to 30 September 2024.</w:t>
      </w:r>
      <w:r>
        <w:br/>
      </w:r>
      <w:r>
        <w:rPr>
          <w:rFonts w:ascii="Arial" w:hAnsi="Arial" w:cs="Arial" w:eastAsia="Arial"/>
          <w:color w:val="5A6478"/>
          <w:sz w:val="17"/>
          <w:szCs w:val="17"/>
        </w:rPr>
        <w:t>** For the period from 31 December 2023 to 30 September 2024, including cash distributions of 5.70%.</w:t>
      </w:r>
      <w:r>
        <w:br/>
      </w:r>
      <w:r>
        <w:rPr>
          <w:rFonts w:ascii="Arial" w:hAnsi="Arial" w:cs="Arial" w:eastAsia="Arial"/>
          <w:color w:val="5A6478"/>
          <w:sz w:val="17"/>
          <w:szCs w:val="17"/>
        </w:rPr>
        <w:t>*** For the period from 30 September 2023 to 30 September 2024, including cash distributions of 5.70%.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20.7</w:t>
            </w:r>
          </w:p>
        </w:tc>
        <w:tc>
          <w:tcPr>
            <w:tcW w:type="dxa" w:w="1663"/>
          </w:tcPr>
          <w:p>
            <w:pPr>
              <w:spacing w:before="0" w:after="0" w:line="264" w:lineRule="auto"/>
            </w:pPr>
            <w:r>
              <w:rPr>
                <w:rFonts w:ascii="Arial" w:hAnsi="Arial" w:cs="Arial" w:eastAsia="Arial"/>
                <w:color w:val="0E1E3A"/>
                <w:sz w:val="17"/>
                <w:szCs w:val="17"/>
              </w:rPr>
              <w:t>13.7</w:t>
            </w:r>
          </w:p>
        </w:tc>
        <w:tc>
          <w:tcPr>
            <w:tcW w:type="dxa" w:w="1663"/>
          </w:tcPr>
          <w:p>
            <w:pPr>
              <w:spacing w:before="0" w:after="0" w:line="264" w:lineRule="auto"/>
            </w:pPr>
            <w:r>
              <w:rPr>
                <w:rFonts w:ascii="Arial" w:hAnsi="Arial" w:cs="Arial" w:eastAsia="Arial"/>
                <w:color w:val="0E1E3A"/>
                <w:sz w:val="17"/>
                <w:szCs w:val="17"/>
              </w:rPr>
              <w:t>12.9</w:t>
            </w:r>
          </w:p>
        </w:tc>
        <w:tc>
          <w:tcPr>
            <w:tcW w:type="dxa" w:w="1663"/>
          </w:tcPr>
          <w:p>
            <w:pPr>
              <w:spacing w:before="0" w:after="0" w:line="264" w:lineRule="auto"/>
            </w:pPr>
            <w:r>
              <w:rPr>
                <w:rFonts w:ascii="Arial" w:hAnsi="Arial" w:cs="Arial" w:eastAsia="Arial"/>
                <w:color w:val="0E1E3A"/>
                <w:sz w:val="17"/>
                <w:szCs w:val="17"/>
              </w:rPr>
              <w:t>14.9</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-0.81</w:t>
            </w:r>
          </w:p>
        </w:tc>
        <w:tc>
          <w:tcPr>
            <w:tcW w:type="dxa" w:w="1663"/>
          </w:tcPr>
          <w:p>
            <w:pPr>
              <w:spacing w:before="0" w:after="0" w:line="264" w:lineRule="auto"/>
            </w:pPr>
            <w:r>
              <w:rPr>
                <w:rFonts w:ascii="Arial" w:hAnsi="Arial" w:cs="Arial" w:eastAsia="Arial"/>
                <w:color w:val="0E1E3A"/>
                <w:sz w:val="17"/>
                <w:szCs w:val="17"/>
              </w:rPr>
              <w:t>-0.45</w:t>
            </w:r>
          </w:p>
        </w:tc>
        <w:tc>
          <w:tcPr>
            <w:tcW w:type="dxa" w:w="1663"/>
          </w:tcPr>
          <w:p>
            <w:pPr>
              <w:spacing w:before="0" w:after="0" w:line="264" w:lineRule="auto"/>
            </w:pPr>
            <w:r>
              <w:rPr>
                <w:rFonts w:ascii="Arial" w:hAnsi="Arial" w:cs="Arial" w:eastAsia="Arial"/>
                <w:color w:val="0E1E3A"/>
                <w:sz w:val="17"/>
                <w:szCs w:val="17"/>
              </w:rPr>
              <w:t>-0.62</w:t>
            </w:r>
          </w:p>
        </w:tc>
        <w:tc>
          <w:tcPr>
            <w:tcW w:type="dxa" w:w="1663"/>
          </w:tcPr>
          <w:p>
            <w:pPr>
              <w:spacing w:before="0" w:after="0" w:line="264" w:lineRule="auto"/>
            </w:pPr>
            <w:r>
              <w:rPr>
                <w:rFonts w:ascii="Arial" w:hAnsi="Arial" w:cs="Arial" w:eastAsia="Arial"/>
                <w:color w:val="0E1E3A"/>
                <w:sz w:val="17"/>
                <w:szCs w:val="17"/>
              </w:rPr>
              <w:t>-0.53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20.7</w:t>
            </w:r>
          </w:p>
        </w:tc>
        <w:tc>
          <w:tcPr>
            <w:tcW w:type="dxa" w:w="1663"/>
          </w:tcPr>
          <w:p>
            <w:pPr>
              <w:spacing w:before="0" w:after="0" w:line="264" w:lineRule="auto"/>
            </w:pPr>
            <w:r>
              <w:rPr>
                <w:rFonts w:ascii="Arial" w:hAnsi="Arial" w:cs="Arial" w:eastAsia="Arial"/>
                <w:color w:val="0E1E3A"/>
                <w:sz w:val="17"/>
                <w:szCs w:val="17"/>
              </w:rPr>
              <w:t>13.7</w:t>
            </w:r>
          </w:p>
        </w:tc>
        <w:tc>
          <w:tcPr>
            <w:tcW w:type="dxa" w:w="1663"/>
          </w:tcPr>
          <w:p>
            <w:pPr>
              <w:spacing w:before="0" w:after="0" w:line="264" w:lineRule="auto"/>
            </w:pPr>
            <w:r>
              <w:rPr>
                <w:rFonts w:ascii="Arial" w:hAnsi="Arial" w:cs="Arial" w:eastAsia="Arial"/>
                <w:color w:val="0E1E3A"/>
                <w:sz w:val="17"/>
                <w:szCs w:val="17"/>
              </w:rPr>
              <w:t>13.0</w:t>
            </w:r>
          </w:p>
        </w:tc>
        <w:tc>
          <w:tcPr>
            <w:tcW w:type="dxa" w:w="1663"/>
          </w:tcPr>
          <w:p>
            <w:pPr>
              <w:spacing w:before="0" w:after="0" w:line="264" w:lineRule="auto"/>
            </w:pPr>
            <w:r>
              <w:rPr>
                <w:rFonts w:ascii="Arial" w:hAnsi="Arial" w:cs="Arial" w:eastAsia="Arial"/>
                <w:color w:val="0E1E3A"/>
                <w:sz w:val="17"/>
                <w:szCs w:val="17"/>
              </w:rPr>
              <w:t>15.0</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0.6</w:t>
            </w:r>
          </w:p>
        </w:tc>
        <w:tc>
          <w:tcPr>
            <w:tcW w:type="dxa" w:w="1663"/>
          </w:tcPr>
          <w:p>
            <w:pPr>
              <w:spacing w:before="0" w:after="0" w:line="264" w:lineRule="auto"/>
            </w:pPr>
            <w:r>
              <w:rPr>
                <w:rFonts w:ascii="Arial" w:hAnsi="Arial" w:cs="Arial" w:eastAsia="Arial"/>
                <w:color w:val="0E1E3A"/>
                <w:sz w:val="17"/>
                <w:szCs w:val="17"/>
              </w:rPr>
              <w:t>-2.7</w:t>
            </w:r>
          </w:p>
        </w:tc>
        <w:tc>
          <w:tcPr>
            <w:tcW w:type="dxa" w:w="1663"/>
          </w:tcPr>
          <w:p>
            <w:pPr>
              <w:spacing w:before="0" w:after="0" w:line="264" w:lineRule="auto"/>
            </w:pPr>
            <w:r>
              <w:rPr>
                <w:rFonts w:ascii="Arial" w:hAnsi="Arial" w:cs="Arial" w:eastAsia="Arial"/>
                <w:color w:val="0E1E3A"/>
                <w:sz w:val="17"/>
                <w:szCs w:val="17"/>
              </w:rPr>
              <w:t>-1.9</w:t>
            </w:r>
          </w:p>
        </w:tc>
        <w:tc>
          <w:tcPr>
            <w:tcW w:type="dxa" w:w="1663"/>
          </w:tcPr>
          <w:p>
            <w:pPr>
              <w:spacing w:before="0" w:after="0" w:line="264" w:lineRule="auto"/>
            </w:pPr>
            <w:r>
              <w:rPr>
                <w:rFonts w:ascii="Arial" w:hAnsi="Arial" w:cs="Arial" w:eastAsia="Arial"/>
                <w:color w:val="0E1E3A"/>
                <w:sz w:val="17"/>
                <w:szCs w:val="17"/>
              </w:rPr>
              <w:t>-1.6</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-0.19</w:t>
            </w:r>
          </w:p>
        </w:tc>
        <w:tc>
          <w:tcPr>
            <w:tcW w:type="dxa" w:w="1663"/>
          </w:tcPr>
          <w:p>
            <w:pPr>
              <w:spacing w:before="0" w:after="0" w:line="264" w:lineRule="auto"/>
            </w:pPr>
            <w:r>
              <w:rPr>
                <w:rFonts w:ascii="Arial" w:hAnsi="Arial" w:cs="Arial" w:eastAsia="Arial"/>
                <w:color w:val="0E1E3A"/>
                <w:sz w:val="17"/>
                <w:szCs w:val="17"/>
              </w:rPr>
              <w:t>-0.08</w:t>
            </w:r>
          </w:p>
        </w:tc>
        <w:tc>
          <w:tcPr>
            <w:tcW w:type="dxa" w:w="1663"/>
          </w:tcPr>
          <w:p>
            <w:pPr>
              <w:spacing w:before="0" w:after="0" w:line="264" w:lineRule="auto"/>
            </w:pPr>
            <w:r>
              <w:rPr>
                <w:rFonts w:ascii="Arial" w:hAnsi="Arial" w:cs="Arial" w:eastAsia="Arial"/>
                <w:color w:val="0E1E3A"/>
                <w:sz w:val="17"/>
                <w:szCs w:val="17"/>
              </w:rPr>
              <w:t>-0.10</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-0.96</w:t>
            </w:r>
          </w:p>
        </w:tc>
        <w:tc>
          <w:tcPr>
            <w:tcW w:type="dxa" w:w="1663"/>
          </w:tcPr>
          <w:p>
            <w:pPr>
              <w:spacing w:before="0" w:after="0" w:line="264" w:lineRule="auto"/>
            </w:pPr>
            <w:r>
              <w:rPr>
                <w:rFonts w:ascii="Arial" w:hAnsi="Arial" w:cs="Arial" w:eastAsia="Arial"/>
                <w:color w:val="0E1E3A"/>
                <w:sz w:val="17"/>
                <w:szCs w:val="17"/>
              </w:rPr>
              <w:t>-0.63</w:t>
            </w:r>
          </w:p>
        </w:tc>
        <w:tc>
          <w:tcPr>
            <w:tcW w:type="dxa" w:w="1663"/>
          </w:tcPr>
          <w:p>
            <w:pPr>
              <w:spacing w:before="0" w:after="0" w:line="264" w:lineRule="auto"/>
            </w:pPr>
            <w:r>
              <w:rPr>
                <w:rFonts w:ascii="Arial" w:hAnsi="Arial" w:cs="Arial" w:eastAsia="Arial"/>
                <w:color w:val="0E1E3A"/>
                <w:sz w:val="17"/>
                <w:szCs w:val="17"/>
              </w:rPr>
              <w:t>-0.81</w:t>
            </w:r>
          </w:p>
        </w:tc>
        <w:tc>
          <w:tcPr>
            <w:tcW w:type="dxa" w:w="1663"/>
          </w:tcPr>
          <w:p>
            <w:pPr>
              <w:spacing w:before="0" w:after="0" w:line="264" w:lineRule="auto"/>
            </w:pPr>
            <w:r>
              <w:rPr>
                <w:rFonts w:ascii="Arial" w:hAnsi="Arial" w:cs="Arial" w:eastAsia="Arial"/>
                <w:color w:val="0E1E3A"/>
                <w:sz w:val="17"/>
                <w:szCs w:val="17"/>
              </w:rPr>
              <w:t>-0.75</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30 June 2024 to 30 September 2024.</w:t>
      </w:r>
      <w:r>
        <w:br/>
      </w:r>
      <w:r>
        <w:rPr>
          <w:rFonts w:ascii="Arial" w:hAnsi="Arial" w:cs="Arial" w:eastAsia="Arial"/>
          <w:color w:val="5A6478"/>
          <w:sz w:val="17"/>
          <w:szCs w:val="17"/>
        </w:rPr>
        <w:t>2. For the period from 31 December 2023 to 30 September 2024.</w:t>
      </w:r>
      <w:r>
        <w:br/>
      </w:r>
      <w:r>
        <w:rPr>
          <w:rFonts w:ascii="Arial" w:hAnsi="Arial" w:cs="Arial" w:eastAsia="Arial"/>
          <w:color w:val="5A6478"/>
          <w:sz w:val="17"/>
          <w:szCs w:val="17"/>
        </w:rPr>
        <w:t>3. For the period from 30 September 2023 to 30 September 2024.</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w:t>
      </w:r>
      <w:r>
        <w:br/>
      </w:r>
      <w:r>
        <w:rPr>
          <w:rFonts w:ascii="Arial" w:hAnsi="Arial" w:cs="Arial" w:eastAsia="Arial"/>
          <w:color w:val="5A6478"/>
          <w:sz w:val="17"/>
          <w:szCs w:val="17"/>
        </w:rPr>
        <w:t>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Equipment Leasing and Finance Association (ELFA), U.S. companies borrowed 10% less YoY in August to finance equipment investments. New loans, leases, and lines of credit were down 17% from July. ELFA President mentioned that the Fed's decision to lower interest rates may boost equipment demand, although some businesses might hold off on investing until rates drop further.</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reported that new business volume for August 2024 was USD 9.2 billion, down 10% YoY from August 2023. MoM, new business volume decreased by 17% from July's USD 11. 1 billion. Despite the decline, year-to-date cumulative new business volume is up 3.5% compared to 2023, indicating overall growth in the sector.</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global trade finance gap has widened to USD 2.5 trillion (per recent ADB survey of September 2023), registering a 47% increase from its previous survey which had estimated the 2020 trade finance gap at USD 1.7 trillion.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larger-than-expected rate cut by the US Federal Reserve in September triggered a global easing cycle, reducing borrowing costs and encouraging business investment. Meanwhile, in China, the government introduced its most significant stimulus package for consumers and the financial sector since the pandemic, aiming to jumpstart the faltering economy.</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Moody's anticipates a significant increase in global Sukuk issuance in 2024, driven by strong demand from the Gulf Cooperation Council (GCC) and Southeast Asia. The agency projects total issuance to be between USD 200 billion and USD 210 billion, surpassing last year's record of nearly USD 200 billion.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in Q3 2024, the US Dow Jones Sukuk Index (ex-reinvestment) rose 4.57%, while the S&amp;P GCC Bond and Sukuk Index gained by 5.02%.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1"/>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6" name="Picture 9052"/>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3"/>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4"/>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Q3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