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9"/>
            <wp:cNvGraphicFramePr/>
            <a:graphic>
              <a:graphicData uri="http://schemas.openxmlformats.org/drawingml/2006/picture">
                <pic:pic>
                  <pic:nvPicPr>
                    <pic:cNvPr id="9029" name="banner9029.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الهدف الاستثماري للصندوق هو تحقيق دخل دوري للمستثمرين من خلال الاستثمار في أصول مدرّة للدخل في الصكوك، وصفقات التمويل التجاري، وصفقات الإجارة، وصناديق الدخل، وصفقات المرابحة، إما بشكل مباشر، أو من خلال صناديق استثمار متوافقة مع ضوابط لجنة الرقابة الشرعية.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427,817,526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معدل فائدة التمويل المضمون لليلة واحدة (SOFR) لمدة 12 شهرا، زائدا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 خلال شهري فبراير وأغسطس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30 سبتمبر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يواصل مدير الصندوق متابعة عملية التخارج من صندوق الدخل "برستيج بريميوم الزراعي" عن كثب، وقد تم تطبيق أحدث تقييم استلمه مدير الصندوق (البالغ 25.14 دولارا للوحدة) لصندوق الدخل "برستيج بريميوم الزراعي"، على آخر تقييم لصندوق "الخبير للدخل المتنوع المتداول"، وسوف يُبقي مالكي الوحدات على اطلاع بأي تطورات جوهرية تطرأ في حينه.</w:t>
      </w:r>
    </w:p>
    <w:p>
      <w:pPr>
        <w:bidi w:val="1"/>
        <w:spacing w:before="0" w:after="80" w:line="312" w:lineRule="auto"/>
      </w:pPr>
      <w:r>
        <w:rPr>
          <w:rFonts w:ascii="Arial" w:hAnsi="Arial" w:cs="Arial" w:eastAsia="Arial"/>
          <w:color w:val="0E1E3A"/>
          <w:sz w:val="20"/>
          <w:szCs w:val="20"/>
          <w:rtl/>
        </w:rPr>
        <w:t>كذلك يؤكد مدير الصندوق أيضا إلى أن عملية التخارج من الاستثمار التي يعمل عليها مدير الصندوق تنطوي على عدة مخاطر، تشمل: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حالات التأخير المحتملة في المسار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قيمة الاستثمار في حال بيع الأصول المستثمر بها بأقل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المخاطرة في عدم استرداد رأس المال المستثمر به كاملا؛ وذلك إذا واجه الصندوق بعد تصفيته التزامات أو نفقات إضافية غير متوقعة.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الثالث (30 سبتمبر 2025م)</w:t>
            </w:r>
          </w:p>
        </w:tc>
        <w:tc>
          <w:tcPr>
            <w:tcW w:type="dxa" w:w="6860"/>
          </w:tcPr>
          <w:p>
            <w:pPr>
              <w:bidi w:val="1"/>
              <w:spacing w:before="0" w:after="0" w:line="276" w:lineRule="auto"/>
            </w:pPr>
            <w:r>
              <w:rPr>
                <w:rFonts w:ascii="Arial" w:hAnsi="Arial" w:cs="Arial" w:eastAsia="Arial"/>
                <w:b/>
                <w:bCs/>
                <w:color w:val="0E1E3A"/>
                <w:sz w:val="18"/>
                <w:szCs w:val="18"/>
                <w:rtl/>
              </w:rPr>
              <w:t>5.57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‎-5.75%‎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425,271,686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الثالث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2,630,743 ر.س.</w:t>
            </w:r>
          </w:p>
        </w:tc>
        <w:tc>
          <w:tcPr>
            <w:tcW w:type="dxa" w:w="3326"/>
          </w:tcPr>
          <w:p>
            <w:pPr>
              <w:bidi w:val="1"/>
              <w:spacing w:before="0" w:after="0" w:line="264" w:lineRule="auto"/>
            </w:pPr>
            <w:r>
              <w:rPr>
                <w:rFonts w:ascii="Arial" w:hAnsi="Arial" w:cs="Arial" w:eastAsia="Arial"/>
                <w:color w:val="0E1E3A"/>
                <w:sz w:val="17"/>
                <w:szCs w:val="17"/>
              </w:rPr>
              <w:t>‎0.62%‎</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9,456,294 ر.س.</w:t>
            </w:r>
          </w:p>
        </w:tc>
        <w:tc>
          <w:tcPr>
            <w:tcW w:type="dxa" w:w="3326"/>
          </w:tcPr>
          <w:p>
            <w:pPr>
              <w:bidi w:val="1"/>
              <w:spacing w:before="0" w:after="0" w:line="264" w:lineRule="auto"/>
            </w:pPr>
            <w:r>
              <w:rPr>
                <w:rFonts w:ascii="Arial" w:hAnsi="Arial" w:cs="Arial" w:eastAsia="Arial"/>
                <w:color w:val="0E1E3A"/>
                <w:sz w:val="17"/>
                <w:szCs w:val="17"/>
              </w:rPr>
              <w:t>‎2.22%‎</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2"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1"/>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الثالث</w:t>
            </w:r>
          </w:p>
        </w:tc>
        <w:tc>
          <w:tcPr>
            <w:tcW w:type="dxa" w:w="6860"/>
          </w:tcPr>
          <w:p>
            <w:pPr>
              <w:bidi w:val="1"/>
              <w:spacing w:before="0" w:after="0" w:line="276" w:lineRule="auto"/>
            </w:pPr>
            <w:r>
              <w:rPr>
                <w:rFonts w:ascii="Arial" w:hAnsi="Arial" w:cs="Arial" w:eastAsia="Arial"/>
                <w:b/>
                <w:bCs/>
                <w:color w:val="0E1E3A"/>
                <w:sz w:val="18"/>
                <w:szCs w:val="18"/>
                <w:rtl/>
              </w:rPr>
              <w:t>9,456,294.00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0.20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‎2.22%‎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لمالكي الوحدات حسب سجل مالكي الوحدات بنهاية يوم 17 أغسطس 2025م</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Moody’s</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27 نوفمبر 2024م</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44"/>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45"/>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2-3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‎1.28%‎</w:t>
            </w:r>
          </w:p>
        </w:tc>
        <w:tc>
          <w:tcPr>
            <w:tcW w:type="dxa" w:w="1663"/>
          </w:tcPr>
          <w:p>
            <w:pPr>
              <w:bidi w:val="1"/>
              <w:spacing w:before="0" w:after="0" w:line="264" w:lineRule="auto"/>
            </w:pPr>
            <w:r>
              <w:rPr>
                <w:rFonts w:ascii="Arial" w:hAnsi="Arial" w:cs="Arial" w:eastAsia="Arial"/>
                <w:color w:val="0E1E3A"/>
                <w:sz w:val="17"/>
                <w:szCs w:val="17"/>
              </w:rPr>
              <w:t>‎-2.02%‎</w:t>
            </w:r>
          </w:p>
        </w:tc>
        <w:tc>
          <w:tcPr>
            <w:tcW w:type="dxa" w:w="1663"/>
          </w:tcPr>
          <w:p>
            <w:pPr>
              <w:bidi w:val="1"/>
              <w:spacing w:before="0" w:after="0" w:line="264" w:lineRule="auto"/>
            </w:pPr>
            <w:r>
              <w:rPr>
                <w:rFonts w:ascii="Arial" w:hAnsi="Arial" w:cs="Arial" w:eastAsia="Arial"/>
                <w:color w:val="0E1E3A"/>
                <w:sz w:val="17"/>
                <w:szCs w:val="17"/>
              </w:rPr>
              <w:t>‎-2.14%‎</w:t>
            </w:r>
          </w:p>
        </w:tc>
        <w:tc>
          <w:tcPr>
            <w:tcW w:type="dxa" w:w="1663"/>
          </w:tcPr>
          <w:p>
            <w:pPr>
              <w:bidi w:val="1"/>
              <w:spacing w:before="0" w:after="0" w:line="264" w:lineRule="auto"/>
            </w:pPr>
            <w:r>
              <w:rPr>
                <w:rFonts w:ascii="Arial" w:hAnsi="Arial" w:cs="Arial" w:eastAsia="Arial"/>
                <w:color w:val="0E1E3A"/>
                <w:sz w:val="17"/>
                <w:szCs w:val="17"/>
              </w:rPr>
              <w:t>‎8.00%‎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‎1.72%‎</w:t>
            </w:r>
          </w:p>
        </w:tc>
        <w:tc>
          <w:tcPr>
            <w:tcW w:type="dxa" w:w="1663"/>
          </w:tcPr>
          <w:p>
            <w:pPr>
              <w:bidi w:val="1"/>
              <w:spacing w:before="0" w:after="0" w:line="264" w:lineRule="auto"/>
            </w:pPr>
            <w:r>
              <w:rPr>
                <w:rFonts w:ascii="Arial" w:hAnsi="Arial" w:cs="Arial" w:eastAsia="Arial"/>
                <w:color w:val="0E1E3A"/>
                <w:sz w:val="17"/>
                <w:szCs w:val="17"/>
              </w:rPr>
              <w:t>‎5.18%‎</w:t>
            </w:r>
          </w:p>
        </w:tc>
        <w:tc>
          <w:tcPr>
            <w:tcW w:type="dxa" w:w="1663"/>
          </w:tcPr>
          <w:p>
            <w:pPr>
              <w:bidi w:val="1"/>
              <w:spacing w:before="0" w:after="0" w:line="264" w:lineRule="auto"/>
            </w:pPr>
            <w:r>
              <w:rPr>
                <w:rFonts w:ascii="Arial" w:hAnsi="Arial" w:cs="Arial" w:eastAsia="Arial"/>
                <w:color w:val="0E1E3A"/>
                <w:sz w:val="17"/>
                <w:szCs w:val="17"/>
              </w:rPr>
              <w:t>‎7.05%‎</w:t>
            </w:r>
          </w:p>
        </w:tc>
        <w:tc>
          <w:tcPr>
            <w:tcW w:type="dxa" w:w="1663"/>
          </w:tcPr>
          <w:p>
            <w:pPr>
              <w:bidi w:val="1"/>
              <w:spacing w:before="0" w:after="0" w:line="264" w:lineRule="auto"/>
            </w:pPr>
            <w:r>
              <w:rPr>
                <w:rFonts w:ascii="Arial" w:hAnsi="Arial" w:cs="Arial" w:eastAsia="Arial"/>
                <w:color w:val="0E1E3A"/>
                <w:sz w:val="17"/>
                <w:szCs w:val="17"/>
              </w:rPr>
              <w:t>‎25.29%‎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‎-0.44%‎</w:t>
            </w:r>
          </w:p>
        </w:tc>
        <w:tc>
          <w:tcPr>
            <w:tcW w:type="dxa" w:w="1663"/>
          </w:tcPr>
          <w:p>
            <w:pPr>
              <w:bidi w:val="1"/>
              <w:spacing w:before="0" w:after="0" w:line="264" w:lineRule="auto"/>
            </w:pPr>
            <w:r>
              <w:rPr>
                <w:rFonts w:ascii="Arial" w:hAnsi="Arial" w:cs="Arial" w:eastAsia="Arial"/>
                <w:color w:val="0E1E3A"/>
                <w:sz w:val="17"/>
                <w:szCs w:val="17"/>
              </w:rPr>
              <w:t>‎-7.20%‎</w:t>
            </w:r>
          </w:p>
        </w:tc>
        <w:tc>
          <w:tcPr>
            <w:tcW w:type="dxa" w:w="1663"/>
          </w:tcPr>
          <w:p>
            <w:pPr>
              <w:bidi w:val="1"/>
              <w:spacing w:before="0" w:after="0" w:line="264" w:lineRule="auto"/>
            </w:pPr>
            <w:r>
              <w:rPr>
                <w:rFonts w:ascii="Arial" w:hAnsi="Arial" w:cs="Arial" w:eastAsia="Arial"/>
                <w:color w:val="0E1E3A"/>
                <w:sz w:val="17"/>
                <w:szCs w:val="17"/>
              </w:rPr>
              <w:t>‎-9.19%‎</w:t>
            </w:r>
          </w:p>
        </w:tc>
        <w:tc>
          <w:tcPr>
            <w:tcW w:type="dxa" w:w="1663"/>
          </w:tcPr>
          <w:p>
            <w:pPr>
              <w:bidi w:val="1"/>
              <w:spacing w:before="0" w:after="0" w:line="264" w:lineRule="auto"/>
            </w:pPr>
            <w:r>
              <w:rPr>
                <w:rFonts w:ascii="Arial" w:hAnsi="Arial" w:cs="Arial" w:eastAsia="Arial"/>
                <w:color w:val="0E1E3A"/>
                <w:sz w:val="17"/>
                <w:szCs w:val="17"/>
              </w:rPr>
              <w:t>‎-17.29%‎</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 عن الفترة من 1 يناير 2025م إلى 30 سبتمبر 2025م.</w:t>
      </w:r>
      <w:r>
        <w:br/>
      </w:r>
      <w:r>
        <w:rPr>
          <w:rFonts w:ascii="Arial" w:hAnsi="Arial" w:cs="Arial" w:eastAsia="Arial"/>
          <w:color w:val="5A6478"/>
          <w:sz w:val="17"/>
          <w:szCs w:val="17"/>
          <w:rtl/>
        </w:rPr>
        <w:t>*** عن الفتر من 30 سبتمبر 2024م إلى 30 سبتمبر 2025م.</w:t>
      </w:r>
      <w:r>
        <w:br/>
      </w:r>
      <w:r>
        <w:rPr>
          <w:rFonts w:ascii="Arial" w:hAnsi="Arial" w:cs="Arial" w:eastAsia="Arial"/>
          <w:color w:val="5A6478"/>
          <w:sz w:val="17"/>
          <w:szCs w:val="17"/>
          <w:rtl/>
        </w:rPr>
        <w:t>**** عن الفترة من 30 سبتمبر 2022م إلى 30 سبتمبر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7"/>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10.21</w:t>
            </w:r>
          </w:p>
        </w:tc>
        <w:tc>
          <w:tcPr>
            <w:tcW w:type="dxa" w:w="1663"/>
          </w:tcPr>
          <w:p>
            <w:pPr>
              <w:bidi w:val="1"/>
              <w:spacing w:before="0" w:after="0" w:line="264" w:lineRule="auto"/>
            </w:pPr>
            <w:r>
              <w:rPr>
                <w:rFonts w:ascii="Arial" w:hAnsi="Arial" w:cs="Arial" w:eastAsia="Arial"/>
                <w:color w:val="0E1E3A"/>
                <w:sz w:val="17"/>
                <w:szCs w:val="17"/>
                <w:rtl/>
              </w:rPr>
              <w:t>8.34</w:t>
            </w:r>
          </w:p>
        </w:tc>
        <w:tc>
          <w:tcPr>
            <w:tcW w:type="dxa" w:w="1663"/>
          </w:tcPr>
          <w:p>
            <w:pPr>
              <w:bidi w:val="1"/>
              <w:spacing w:before="0" w:after="0" w:line="264" w:lineRule="auto"/>
            </w:pPr>
            <w:r>
              <w:rPr>
                <w:rFonts w:ascii="Arial" w:hAnsi="Arial" w:cs="Arial" w:eastAsia="Arial"/>
                <w:color w:val="0E1E3A"/>
                <w:sz w:val="17"/>
                <w:szCs w:val="17"/>
                <w:rtl/>
              </w:rPr>
              <w:t>8.01</w:t>
            </w:r>
          </w:p>
        </w:tc>
        <w:tc>
          <w:tcPr>
            <w:tcW w:type="dxa" w:w="1663"/>
          </w:tcPr>
          <w:p>
            <w:pPr>
              <w:bidi w:val="1"/>
              <w:spacing w:before="0" w:after="0" w:line="264" w:lineRule="auto"/>
            </w:pPr>
            <w:r>
              <w:rPr>
                <w:rFonts w:ascii="Arial" w:hAnsi="Arial" w:cs="Arial" w:eastAsia="Arial"/>
                <w:color w:val="0E1E3A"/>
                <w:sz w:val="17"/>
                <w:szCs w:val="17"/>
                <w:rtl/>
              </w:rPr>
              <w:t>14.66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-1.04</w:t>
            </w:r>
          </w:p>
        </w:tc>
        <w:tc>
          <w:tcPr>
            <w:tcW w:type="dxa" w:w="1663"/>
          </w:tcPr>
          <w:p>
            <w:pPr>
              <w:bidi w:val="1"/>
              <w:spacing w:before="0" w:after="0" w:line="264" w:lineRule="auto"/>
            </w:pPr>
            <w:r>
              <w:rPr>
                <w:rFonts w:ascii="Arial" w:hAnsi="Arial" w:cs="Arial" w:eastAsia="Arial"/>
                <w:color w:val="0E1E3A"/>
                <w:sz w:val="17"/>
                <w:szCs w:val="17"/>
                <w:rtl/>
              </w:rPr>
              <w:t>-2.04</w:t>
            </w:r>
          </w:p>
        </w:tc>
        <w:tc>
          <w:tcPr>
            <w:tcW w:type="dxa" w:w="1663"/>
          </w:tcPr>
          <w:p>
            <w:pPr>
              <w:bidi w:val="1"/>
              <w:spacing w:before="0" w:after="0" w:line="264" w:lineRule="auto"/>
            </w:pPr>
            <w:r>
              <w:rPr>
                <w:rFonts w:ascii="Arial" w:hAnsi="Arial" w:cs="Arial" w:eastAsia="Arial"/>
                <w:color w:val="0E1E3A"/>
                <w:sz w:val="17"/>
                <w:szCs w:val="17"/>
                <w:rtl/>
              </w:rPr>
              <w:t>-1.18</w:t>
            </w:r>
          </w:p>
        </w:tc>
        <w:tc>
          <w:tcPr>
            <w:tcW w:type="dxa" w:w="1663"/>
          </w:tcPr>
          <w:p>
            <w:pPr>
              <w:bidi w:val="1"/>
              <w:spacing w:before="0" w:after="0" w:line="264" w:lineRule="auto"/>
            </w:pPr>
            <w:r>
              <w:rPr>
                <w:rFonts w:ascii="Arial" w:hAnsi="Arial" w:cs="Arial" w:eastAsia="Arial"/>
                <w:color w:val="0E1E3A"/>
                <w:sz w:val="17"/>
                <w:szCs w:val="17"/>
                <w:rtl/>
              </w:rPr>
              <w:t>-0.44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10.34</w:t>
            </w:r>
          </w:p>
        </w:tc>
        <w:tc>
          <w:tcPr>
            <w:tcW w:type="dxa" w:w="1663"/>
          </w:tcPr>
          <w:p>
            <w:pPr>
              <w:bidi w:val="1"/>
              <w:spacing w:before="0" w:after="0" w:line="264" w:lineRule="auto"/>
            </w:pPr>
            <w:r>
              <w:rPr>
                <w:rFonts w:ascii="Arial" w:hAnsi="Arial" w:cs="Arial" w:eastAsia="Arial"/>
                <w:color w:val="0E1E3A"/>
                <w:sz w:val="17"/>
                <w:szCs w:val="17"/>
                <w:rtl/>
              </w:rPr>
              <w:t>8.40</w:t>
            </w:r>
          </w:p>
        </w:tc>
        <w:tc>
          <w:tcPr>
            <w:tcW w:type="dxa" w:w="1663"/>
          </w:tcPr>
          <w:p>
            <w:pPr>
              <w:bidi w:val="1"/>
              <w:spacing w:before="0" w:after="0" w:line="264" w:lineRule="auto"/>
            </w:pPr>
            <w:r>
              <w:rPr>
                <w:rFonts w:ascii="Arial" w:hAnsi="Arial" w:cs="Arial" w:eastAsia="Arial"/>
                <w:color w:val="0E1E3A"/>
                <w:sz w:val="17"/>
                <w:szCs w:val="17"/>
                <w:rtl/>
              </w:rPr>
              <w:t>8.07</w:t>
            </w:r>
          </w:p>
        </w:tc>
        <w:tc>
          <w:tcPr>
            <w:tcW w:type="dxa" w:w="1663"/>
          </w:tcPr>
          <w:p>
            <w:pPr>
              <w:bidi w:val="1"/>
              <w:spacing w:before="0" w:after="0" w:line="264" w:lineRule="auto"/>
            </w:pPr>
            <w:r>
              <w:rPr>
                <w:rFonts w:ascii="Arial" w:hAnsi="Arial" w:cs="Arial" w:eastAsia="Arial"/>
                <w:color w:val="0E1E3A"/>
                <w:sz w:val="17"/>
                <w:szCs w:val="17"/>
                <w:rtl/>
              </w:rPr>
              <w:t>14.64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(25.74)</w:t>
            </w:r>
          </w:p>
        </w:tc>
        <w:tc>
          <w:tcPr>
            <w:tcW w:type="dxa" w:w="1663"/>
          </w:tcPr>
          <w:p>
            <w:pPr>
              <w:bidi w:val="1"/>
              <w:spacing w:before="0" w:after="0" w:line="264" w:lineRule="auto"/>
            </w:pPr>
            <w:r>
              <w:rPr>
                <w:rFonts w:ascii="Arial" w:hAnsi="Arial" w:cs="Arial" w:eastAsia="Arial"/>
                <w:color w:val="0E1E3A"/>
                <w:sz w:val="17"/>
                <w:szCs w:val="17"/>
                <w:rtl/>
              </w:rPr>
              <w:t>(1.34)</w:t>
            </w:r>
          </w:p>
        </w:tc>
        <w:tc>
          <w:tcPr>
            <w:tcW w:type="dxa" w:w="1663"/>
          </w:tcPr>
          <w:p>
            <w:pPr>
              <w:bidi w:val="1"/>
              <w:spacing w:before="0" w:after="0" w:line="264" w:lineRule="auto"/>
            </w:pPr>
            <w:r>
              <w:rPr>
                <w:rFonts w:ascii="Arial" w:hAnsi="Arial" w:cs="Arial" w:eastAsia="Arial"/>
                <w:color w:val="0E1E3A"/>
                <w:sz w:val="17"/>
                <w:szCs w:val="17"/>
                <w:rtl/>
              </w:rPr>
              <w:t>(2.04)</w:t>
            </w:r>
          </w:p>
        </w:tc>
        <w:tc>
          <w:tcPr>
            <w:tcW w:type="dxa" w:w="1663"/>
          </w:tcPr>
          <w:p>
            <w:pPr>
              <w:bidi w:val="1"/>
              <w:spacing w:before="0" w:after="0" w:line="264" w:lineRule="auto"/>
            </w:pPr>
            <w:r>
              <w:rPr>
                <w:rFonts w:ascii="Arial" w:hAnsi="Arial" w:cs="Arial" w:eastAsia="Arial"/>
                <w:color w:val="0E1E3A"/>
                <w:sz w:val="17"/>
                <w:szCs w:val="17"/>
                <w:rtl/>
              </w:rPr>
              <w:t>1.13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‎184.31%‎</w:t>
            </w:r>
          </w:p>
        </w:tc>
        <w:tc>
          <w:tcPr>
            <w:tcW w:type="dxa" w:w="1663"/>
          </w:tcPr>
          <w:p>
            <w:pPr>
              <w:bidi w:val="1"/>
              <w:spacing w:before="0" w:after="0" w:line="264" w:lineRule="auto"/>
            </w:pPr>
            <w:r>
              <w:rPr>
                <w:rFonts w:ascii="Arial" w:hAnsi="Arial" w:cs="Arial" w:eastAsia="Arial"/>
                <w:color w:val="0E1E3A"/>
                <w:sz w:val="17"/>
                <w:szCs w:val="17"/>
              </w:rPr>
              <w:t>‎-3.33%‎</w:t>
            </w:r>
          </w:p>
        </w:tc>
        <w:tc>
          <w:tcPr>
            <w:tcW w:type="dxa" w:w="1663"/>
          </w:tcPr>
          <w:p>
            <w:pPr>
              <w:bidi w:val="1"/>
              <w:spacing w:before="0" w:after="0" w:line="264" w:lineRule="auto"/>
            </w:pPr>
            <w:r>
              <w:rPr>
                <w:rFonts w:ascii="Arial" w:hAnsi="Arial" w:cs="Arial" w:eastAsia="Arial"/>
                <w:color w:val="0E1E3A"/>
                <w:sz w:val="17"/>
                <w:szCs w:val="17"/>
              </w:rPr>
              <w:t>‎9.54%‎</w:t>
            </w:r>
          </w:p>
        </w:tc>
        <w:tc>
          <w:tcPr>
            <w:tcW w:type="dxa" w:w="1663"/>
          </w:tcPr>
          <w:p>
            <w:pPr>
              <w:bidi w:val="1"/>
              <w:spacing w:before="0" w:after="0" w:line="264" w:lineRule="auto"/>
            </w:pPr>
            <w:r>
              <w:rPr>
                <w:rFonts w:ascii="Arial" w:hAnsi="Arial" w:cs="Arial" w:eastAsia="Arial"/>
                <w:color w:val="0E1E3A"/>
                <w:sz w:val="17"/>
                <w:szCs w:val="17"/>
              </w:rPr>
              <w:t>‎-10.56%‎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Pr>
              <w:t>‎-1.28%‎</w:t>
            </w:r>
          </w:p>
        </w:tc>
        <w:tc>
          <w:tcPr>
            <w:tcW w:type="dxa" w:w="1663"/>
          </w:tcPr>
          <w:p>
            <w:pPr>
              <w:bidi w:val="1"/>
              <w:spacing w:before="0" w:after="0" w:line="264" w:lineRule="auto"/>
            </w:pPr>
            <w:r>
              <w:rPr>
                <w:rFonts w:ascii="Arial" w:hAnsi="Arial" w:cs="Arial" w:eastAsia="Arial"/>
                <w:color w:val="0E1E3A"/>
                <w:sz w:val="17"/>
                <w:szCs w:val="17"/>
              </w:rPr>
              <w:t>‎-2.54%‎</w:t>
            </w:r>
          </w:p>
        </w:tc>
        <w:tc>
          <w:tcPr>
            <w:tcW w:type="dxa" w:w="1663"/>
          </w:tcPr>
          <w:p>
            <w:pPr>
              <w:bidi w:val="1"/>
              <w:spacing w:before="0" w:after="0" w:line="264" w:lineRule="auto"/>
            </w:pPr>
            <w:r>
              <w:rPr>
                <w:rFonts w:ascii="Arial" w:hAnsi="Arial" w:cs="Arial" w:eastAsia="Arial"/>
                <w:color w:val="0E1E3A"/>
                <w:sz w:val="17"/>
                <w:szCs w:val="17"/>
              </w:rPr>
              <w:t>‎-1.61%‎</w:t>
            </w:r>
          </w:p>
        </w:tc>
        <w:tc>
          <w:tcPr>
            <w:tcW w:type="dxa" w:w="1663"/>
          </w:tcPr>
          <w:p>
            <w:pPr>
              <w:bidi w:val="1"/>
              <w:spacing w:before="0" w:after="0" w:line="264" w:lineRule="auto"/>
            </w:pPr>
            <w:r>
              <w:rPr>
                <w:rFonts w:ascii="Arial" w:hAnsi="Arial" w:cs="Arial" w:eastAsia="Arial"/>
                <w:color w:val="0E1E3A"/>
                <w:sz w:val="17"/>
                <w:szCs w:val="17"/>
              </w:rPr>
              <w:t>‎-0.65%‎</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2" name="Picture 9050"/>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سبتمبر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1"/>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2"/>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الثالث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