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9"/>
            <wp:cNvGraphicFramePr/>
            <a:graphic>
              <a:graphicData uri="http://schemas.openxmlformats.org/drawingml/2006/picture">
                <pic:pic>
                  <pic:nvPicPr>
                    <pic:cNvPr id="9029" name="banner9029.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investment objective is to generate periodic income to investors by investing in income generating assets, Trade Financing Transations, Leasing Transactions, Income Funds and Murabaha transactions, either directly or by way of Shari'a compliant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w:t>
            </w:r>
          </w:p>
        </w:tc>
        <w:tc>
          <w:tcPr>
            <w:tcW w:type="dxa" w:w="6860"/>
          </w:tcPr>
          <w:p>
            <w:pPr>
              <w:spacing w:before="0" w:after="0" w:line="276" w:lineRule="auto"/>
            </w:pPr>
            <w:r>
              <w:rPr>
                <w:rFonts w:ascii="Arial" w:hAnsi="Arial" w:cs="Arial" w:eastAsia="Arial"/>
                <w:b/>
                <w:bCs/>
                <w:color w:val="0E1E3A"/>
                <w:sz w:val="18"/>
                <w:szCs w:val="18"/>
              </w:rPr>
              <w:t>SAR 427,817,526</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SAR</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Semi Annually, in February and August of each Year</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0.26%</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 (if any)</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Total Asset Value as at 30 September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lower the Fund Manager deviates from the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 and the market on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spacing w:before="0" w:after="80" w:line="312" w:lineRule="auto"/>
      </w:pPr>
      <w:r>
        <w:rPr>
          <w:rFonts w:ascii="Arial" w:hAnsi="Arial" w:cs="Arial" w:eastAsia="Arial"/>
          <w:color w:val="0E1E3A"/>
          <w:sz w:val="20"/>
          <w:szCs w:val="20"/>
        </w:rPr>
        <w:t>The Fund Manager continues to closely monitor the exit process from its "Prestige Premium Agricultural" income fund. The most recent valuation of Prestige Premium Agricultural Income Fund (US $ 25.14 per Unit) received by the Fund Manager was applied to the most recent valuation of Alkhabeer Diversifed Income Traded Fund. Unitholders will be kept informed of any material developments as and when they occur.</w:t>
      </w:r>
    </w:p>
    <w:p>
      <w:pPr>
        <w:spacing w:before="0" w:after="80" w:line="312" w:lineRule="auto"/>
      </w:pPr>
      <w:r>
        <w:rPr>
          <w:rFonts w:ascii="Arial" w:hAnsi="Arial" w:cs="Arial" w:eastAsia="Arial"/>
          <w:color w:val="0E1E3A"/>
          <w:sz w:val="20"/>
          <w:szCs w:val="20"/>
        </w:rPr>
        <w:t>The Fund Manager also acknowledges that the exit process currently in progress by the Fund Manager, involves a number of risks, including:</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Potential delay in the exit time line or generating less than expected returns.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Decrease of the investment value if underlying assets are sold at less than their book value.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Risk of inability to recover the full value of the invested capital in the event the Fund faces unforeseen additional obligations or expenses after its liquidation.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4"/>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(September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Q3</w:t>
            </w:r>
          </w:p>
        </w:tc>
        <w:tc>
          <w:tcPr>
            <w:tcW w:type="dxa" w:w="6860"/>
          </w:tcPr>
          <w:p>
            <w:pPr>
              <w:spacing w:before="0" w:after="0" w:line="276" w:lineRule="auto"/>
            </w:pPr>
            <w:r>
              <w:rPr>
                <w:rFonts w:ascii="Arial" w:hAnsi="Arial" w:cs="Arial" w:eastAsia="Arial"/>
                <w:b/>
                <w:bCs/>
                <w:color w:val="0E1E3A"/>
                <w:sz w:val="18"/>
                <w:szCs w:val="18"/>
              </w:rPr>
              <w:t>SAR 5.57</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-5.75%</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425,271,686</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Q3 (September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w:t>
            </w:r>
          </w:p>
        </w:tc>
        <w:tc>
          <w:tcPr>
            <w:tcW w:type="dxa" w:w="3326"/>
          </w:tcPr>
          <w:p>
            <w:pPr>
              <w:spacing w:before="0" w:after="0" w:line="264" w:lineRule="auto"/>
            </w:pPr>
            <w:r>
              <w:rPr>
                <w:rFonts w:ascii="Arial" w:hAnsi="Arial" w:cs="Arial" w:eastAsia="Arial"/>
                <w:color w:val="0E1E3A"/>
                <w:sz w:val="17"/>
                <w:szCs w:val="17"/>
              </w:rPr>
              <w:t>SAR 2,630,743</w:t>
            </w:r>
          </w:p>
        </w:tc>
        <w:tc>
          <w:tcPr>
            <w:tcW w:type="dxa" w:w="3326"/>
          </w:tcPr>
          <w:p>
            <w:pPr>
              <w:spacing w:before="0" w:after="0" w:line="264" w:lineRule="auto"/>
            </w:pPr>
            <w:r>
              <w:rPr>
                <w:rFonts w:ascii="Arial" w:hAnsi="Arial" w:cs="Arial" w:eastAsia="Arial"/>
                <w:color w:val="0E1E3A"/>
                <w:sz w:val="17"/>
                <w:szCs w:val="17"/>
              </w:rPr>
              <w:t>0.62%</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Distributed Dividends</w:t>
            </w:r>
          </w:p>
        </w:tc>
        <w:tc>
          <w:tcPr>
            <w:tcW w:type="dxa" w:w="3326"/>
          </w:tcPr>
          <w:p>
            <w:pPr>
              <w:spacing w:before="0" w:after="0" w:line="264" w:lineRule="auto"/>
            </w:pPr>
            <w:r>
              <w:rPr>
                <w:rFonts w:ascii="Arial" w:hAnsi="Arial" w:cs="Arial" w:eastAsia="Arial"/>
                <w:color w:val="0E1E3A"/>
                <w:sz w:val="17"/>
                <w:szCs w:val="17"/>
              </w:rPr>
              <w:t>SAR 9,456,294</w:t>
            </w:r>
          </w:p>
        </w:tc>
        <w:tc>
          <w:tcPr>
            <w:tcW w:type="dxa" w:w="3326"/>
          </w:tcPr>
          <w:p>
            <w:pPr>
              <w:spacing w:before="0" w:after="0" w:line="264" w:lineRule="auto"/>
            </w:pPr>
            <w:r>
              <w:rPr>
                <w:rFonts w:ascii="Arial" w:hAnsi="Arial" w:cs="Arial" w:eastAsia="Arial"/>
                <w:color w:val="0E1E3A"/>
                <w:sz w:val="17"/>
                <w:szCs w:val="17"/>
              </w:rPr>
              <w:t>2.22%</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8"/>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0E1E3A"/>
          <w:sz w:val="20"/>
          <w:szCs w:val="20"/>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549622"/>
            <wp:docPr id="12" name="Picture 9040"/>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549622"/>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1"/>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Q3</w:t>
            </w:r>
          </w:p>
        </w:tc>
        <w:tc>
          <w:tcPr>
            <w:tcW w:type="dxa" w:w="6860"/>
          </w:tcPr>
          <w:p>
            <w:pPr>
              <w:spacing w:before="0" w:after="0" w:line="276" w:lineRule="auto"/>
            </w:pPr>
            <w:r>
              <w:rPr>
                <w:rFonts w:ascii="Arial" w:hAnsi="Arial" w:cs="Arial" w:eastAsia="Arial"/>
                <w:b/>
                <w:bCs/>
                <w:color w:val="0E1E3A"/>
                <w:sz w:val="18"/>
                <w:szCs w:val="18"/>
              </w:rPr>
              <w:t>SAR 9,456,294.00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Receiving Dividends in Q3</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in Q3</w:t>
            </w:r>
          </w:p>
        </w:tc>
        <w:tc>
          <w:tcPr>
            <w:tcW w:type="dxa" w:w="6860"/>
          </w:tcPr>
          <w:p>
            <w:pPr>
              <w:spacing w:before="0" w:after="0" w:line="276" w:lineRule="auto"/>
            </w:pPr>
            <w:r>
              <w:rPr>
                <w:rFonts w:ascii="Arial" w:hAnsi="Arial" w:cs="Arial" w:eastAsia="Arial"/>
                <w:b/>
                <w:bCs/>
                <w:color w:val="0E1E3A"/>
                <w:sz w:val="18"/>
                <w:szCs w:val="18"/>
              </w:rPr>
              <w:t>SAR 0.20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2.22%</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According to the Shareholders' Register as at the close of Business on August 17, 2025</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Aa</w:t>
            </w:r>
            <w:r>
              <w:rPr>
                <w:rFonts w:ascii="Arial" w:hAnsi="Arial" w:cs="Arial" w:eastAsia="Arial"/>
                <w:b/>
                <w:bCs/>
                <w:color w:val="0E1E3A"/>
                <w:sz w:val="18"/>
                <w:szCs w:val="18"/>
              </w:rPr>
              <w:t>3</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Aa</w:t>
            </w:r>
            <w:r>
              <w:rPr>
                <w:rFonts w:ascii="Arial" w:hAnsi="Arial" w:cs="Arial" w:eastAsia="Arial"/>
                <w:b/>
                <w:bCs/>
                <w:color w:val="0E1E3A"/>
                <w:sz w:val="18"/>
                <w:szCs w:val="18"/>
              </w:rPr>
              <w:t>3</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Moody’s</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27 November 2024</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3"/>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1836108"/>
            <wp:docPr id="16" name="Picture 9044"/>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1836108"/>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45"/>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Average investment term of the Fund is 2-3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Q3)</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 *</w:t>
            </w:r>
          </w:p>
        </w:tc>
        <w:tc>
          <w:tcPr>
            <w:tcW w:type="dxa" w:w="1663"/>
          </w:tcPr>
          <w:p>
            <w:pPr>
              <w:spacing w:before="0" w:after="0" w:line="264" w:lineRule="auto"/>
            </w:pPr>
            <w:r>
              <w:rPr>
                <w:rFonts w:ascii="Arial" w:hAnsi="Arial" w:cs="Arial" w:eastAsia="Arial"/>
                <w:color w:val="0E1E3A"/>
                <w:sz w:val="17"/>
                <w:szCs w:val="17"/>
              </w:rPr>
              <w:t>1.28%</w:t>
            </w:r>
          </w:p>
        </w:tc>
        <w:tc>
          <w:tcPr>
            <w:tcW w:type="dxa" w:w="1663"/>
          </w:tcPr>
          <w:p>
            <w:pPr>
              <w:spacing w:before="0" w:after="0" w:line="264" w:lineRule="auto"/>
            </w:pPr>
            <w:r>
              <w:rPr>
                <w:rFonts w:ascii="Arial" w:hAnsi="Arial" w:cs="Arial" w:eastAsia="Arial"/>
                <w:color w:val="0E1E3A"/>
                <w:sz w:val="17"/>
                <w:szCs w:val="17"/>
              </w:rPr>
              <w:t>-2.02%</w:t>
            </w:r>
          </w:p>
        </w:tc>
        <w:tc>
          <w:tcPr>
            <w:tcW w:type="dxa" w:w="1663"/>
          </w:tcPr>
          <w:p>
            <w:pPr>
              <w:spacing w:before="0" w:after="0" w:line="264" w:lineRule="auto"/>
            </w:pPr>
            <w:r>
              <w:rPr>
                <w:rFonts w:ascii="Arial" w:hAnsi="Arial" w:cs="Arial" w:eastAsia="Arial"/>
                <w:color w:val="0E1E3A"/>
                <w:sz w:val="17"/>
                <w:szCs w:val="17"/>
              </w:rPr>
              <w:t>-2.14%</w:t>
            </w:r>
          </w:p>
        </w:tc>
        <w:tc>
          <w:tcPr>
            <w:tcW w:type="dxa" w:w="1663"/>
          </w:tcPr>
          <w:p>
            <w:pPr>
              <w:spacing w:before="0" w:after="0" w:line="264" w:lineRule="auto"/>
            </w:pPr>
            <w:r>
              <w:rPr>
                <w:rFonts w:ascii="Arial" w:hAnsi="Arial" w:cs="Arial" w:eastAsia="Arial"/>
                <w:color w:val="0E1E3A"/>
                <w:sz w:val="17"/>
                <w:szCs w:val="17"/>
              </w:rPr>
              <w:t>8.00%</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1.72%</w:t>
            </w:r>
          </w:p>
        </w:tc>
        <w:tc>
          <w:tcPr>
            <w:tcW w:type="dxa" w:w="1663"/>
          </w:tcPr>
          <w:p>
            <w:pPr>
              <w:spacing w:before="0" w:after="0" w:line="264" w:lineRule="auto"/>
            </w:pPr>
            <w:r>
              <w:rPr>
                <w:rFonts w:ascii="Arial" w:hAnsi="Arial" w:cs="Arial" w:eastAsia="Arial"/>
                <w:color w:val="0E1E3A"/>
                <w:sz w:val="17"/>
                <w:szCs w:val="17"/>
              </w:rPr>
              <w:t>5.18%</w:t>
            </w:r>
          </w:p>
        </w:tc>
        <w:tc>
          <w:tcPr>
            <w:tcW w:type="dxa" w:w="1663"/>
          </w:tcPr>
          <w:p>
            <w:pPr>
              <w:spacing w:before="0" w:after="0" w:line="264" w:lineRule="auto"/>
            </w:pPr>
            <w:r>
              <w:rPr>
                <w:rFonts w:ascii="Arial" w:hAnsi="Arial" w:cs="Arial" w:eastAsia="Arial"/>
                <w:color w:val="0E1E3A"/>
                <w:sz w:val="17"/>
                <w:szCs w:val="17"/>
              </w:rPr>
              <w:t>7.05%</w:t>
            </w:r>
          </w:p>
        </w:tc>
        <w:tc>
          <w:tcPr>
            <w:tcW w:type="dxa" w:w="1663"/>
          </w:tcPr>
          <w:p>
            <w:pPr>
              <w:spacing w:before="0" w:after="0" w:line="264" w:lineRule="auto"/>
            </w:pPr>
            <w:r>
              <w:rPr>
                <w:rFonts w:ascii="Arial" w:hAnsi="Arial" w:cs="Arial" w:eastAsia="Arial"/>
                <w:color w:val="0E1E3A"/>
                <w:sz w:val="17"/>
                <w:szCs w:val="17"/>
              </w:rPr>
              <w:t>25.29%</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-0.44%</w:t>
            </w:r>
          </w:p>
        </w:tc>
        <w:tc>
          <w:tcPr>
            <w:tcW w:type="dxa" w:w="1663"/>
          </w:tcPr>
          <w:p>
            <w:pPr>
              <w:spacing w:before="0" w:after="0" w:line="264" w:lineRule="auto"/>
            </w:pPr>
            <w:r>
              <w:rPr>
                <w:rFonts w:ascii="Arial" w:hAnsi="Arial" w:cs="Arial" w:eastAsia="Arial"/>
                <w:color w:val="0E1E3A"/>
                <w:sz w:val="17"/>
                <w:szCs w:val="17"/>
              </w:rPr>
              <w:t>-7.20%</w:t>
            </w:r>
          </w:p>
        </w:tc>
        <w:tc>
          <w:tcPr>
            <w:tcW w:type="dxa" w:w="1663"/>
          </w:tcPr>
          <w:p>
            <w:pPr>
              <w:spacing w:before="0" w:after="0" w:line="264" w:lineRule="auto"/>
            </w:pPr>
            <w:r>
              <w:rPr>
                <w:rFonts w:ascii="Arial" w:hAnsi="Arial" w:cs="Arial" w:eastAsia="Arial"/>
                <w:color w:val="0E1E3A"/>
                <w:sz w:val="17"/>
                <w:szCs w:val="17"/>
              </w:rPr>
              <w:t>-9.19%</w:t>
            </w:r>
          </w:p>
        </w:tc>
        <w:tc>
          <w:tcPr>
            <w:tcW w:type="dxa" w:w="1663"/>
          </w:tcPr>
          <w:p>
            <w:pPr>
              <w:spacing w:before="0" w:after="0" w:line="264" w:lineRule="auto"/>
            </w:pPr>
            <w:r>
              <w:rPr>
                <w:rFonts w:ascii="Arial" w:hAnsi="Arial" w:cs="Arial" w:eastAsia="Arial"/>
                <w:color w:val="0E1E3A"/>
                <w:sz w:val="17"/>
                <w:szCs w:val="17"/>
              </w:rPr>
              <w:t>-17.29%</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NAV/Unit plus dividend distributions.</w:t>
      </w:r>
      <w:r>
        <w:br/>
      </w:r>
      <w:r>
        <w:rPr>
          <w:rFonts w:ascii="Arial" w:hAnsi="Arial" w:cs="Arial" w:eastAsia="Arial"/>
          <w:color w:val="5A6478"/>
          <w:sz w:val="17"/>
          <w:szCs w:val="17"/>
        </w:rPr>
        <w:t>** For the period from 1 January 2025 to 30 September 2025.</w:t>
      </w:r>
      <w:r>
        <w:br/>
      </w:r>
      <w:r>
        <w:rPr>
          <w:rFonts w:ascii="Arial" w:hAnsi="Arial" w:cs="Arial" w:eastAsia="Arial"/>
          <w:color w:val="5A6478"/>
          <w:sz w:val="17"/>
          <w:szCs w:val="17"/>
        </w:rPr>
        <w:t>*** For the period from 30 September 2024 to 30 September 2025.</w:t>
      </w:r>
      <w:r>
        <w:br/>
      </w:r>
      <w:r>
        <w:rPr>
          <w:rFonts w:ascii="Arial" w:hAnsi="Arial" w:cs="Arial" w:eastAsia="Arial"/>
          <w:color w:val="5A6478"/>
          <w:sz w:val="17"/>
          <w:szCs w:val="17"/>
        </w:rPr>
        <w:t>**** For the period from 30 September 2022 to 30 September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7"/>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Q3)</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10.21</w:t>
            </w:r>
          </w:p>
        </w:tc>
        <w:tc>
          <w:tcPr>
            <w:tcW w:type="dxa" w:w="1663"/>
          </w:tcPr>
          <w:p>
            <w:pPr>
              <w:spacing w:before="0" w:after="0" w:line="264" w:lineRule="auto"/>
            </w:pPr>
            <w:r>
              <w:rPr>
                <w:rFonts w:ascii="Arial" w:hAnsi="Arial" w:cs="Arial" w:eastAsia="Arial"/>
                <w:color w:val="0E1E3A"/>
                <w:sz w:val="17"/>
                <w:szCs w:val="17"/>
              </w:rPr>
              <w:t>8.34</w:t>
            </w:r>
          </w:p>
        </w:tc>
        <w:tc>
          <w:tcPr>
            <w:tcW w:type="dxa" w:w="1663"/>
          </w:tcPr>
          <w:p>
            <w:pPr>
              <w:spacing w:before="0" w:after="0" w:line="264" w:lineRule="auto"/>
            </w:pPr>
            <w:r>
              <w:rPr>
                <w:rFonts w:ascii="Arial" w:hAnsi="Arial" w:cs="Arial" w:eastAsia="Arial"/>
                <w:color w:val="0E1E3A"/>
                <w:sz w:val="17"/>
                <w:szCs w:val="17"/>
              </w:rPr>
              <w:t>8.01</w:t>
            </w:r>
          </w:p>
        </w:tc>
        <w:tc>
          <w:tcPr>
            <w:tcW w:type="dxa" w:w="1663"/>
          </w:tcPr>
          <w:p>
            <w:pPr>
              <w:spacing w:before="0" w:after="0" w:line="264" w:lineRule="auto"/>
            </w:pPr>
            <w:r>
              <w:rPr>
                <w:rFonts w:ascii="Arial" w:hAnsi="Arial" w:cs="Arial" w:eastAsia="Arial"/>
                <w:color w:val="0E1E3A"/>
                <w:sz w:val="17"/>
                <w:szCs w:val="17"/>
              </w:rPr>
              <w:t>14.66</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-1.04</w:t>
            </w:r>
          </w:p>
        </w:tc>
        <w:tc>
          <w:tcPr>
            <w:tcW w:type="dxa" w:w="1663"/>
          </w:tcPr>
          <w:p>
            <w:pPr>
              <w:spacing w:before="0" w:after="0" w:line="264" w:lineRule="auto"/>
            </w:pPr>
            <w:r>
              <w:rPr>
                <w:rFonts w:ascii="Arial" w:hAnsi="Arial" w:cs="Arial" w:eastAsia="Arial"/>
                <w:color w:val="0E1E3A"/>
                <w:sz w:val="17"/>
                <w:szCs w:val="17"/>
              </w:rPr>
              <w:t>-2.04</w:t>
            </w:r>
          </w:p>
        </w:tc>
        <w:tc>
          <w:tcPr>
            <w:tcW w:type="dxa" w:w="1663"/>
          </w:tcPr>
          <w:p>
            <w:pPr>
              <w:spacing w:before="0" w:after="0" w:line="264" w:lineRule="auto"/>
            </w:pPr>
            <w:r>
              <w:rPr>
                <w:rFonts w:ascii="Arial" w:hAnsi="Arial" w:cs="Arial" w:eastAsia="Arial"/>
                <w:color w:val="0E1E3A"/>
                <w:sz w:val="17"/>
                <w:szCs w:val="17"/>
              </w:rPr>
              <w:t>-1.18</w:t>
            </w:r>
          </w:p>
        </w:tc>
        <w:tc>
          <w:tcPr>
            <w:tcW w:type="dxa" w:w="1663"/>
          </w:tcPr>
          <w:p>
            <w:pPr>
              <w:spacing w:before="0" w:after="0" w:line="264" w:lineRule="auto"/>
            </w:pPr>
            <w:r>
              <w:rPr>
                <w:rFonts w:ascii="Arial" w:hAnsi="Arial" w:cs="Arial" w:eastAsia="Arial"/>
                <w:color w:val="0E1E3A"/>
                <w:sz w:val="17"/>
                <w:szCs w:val="17"/>
              </w:rPr>
              <w:t>-0.44</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10.34</w:t>
            </w:r>
          </w:p>
        </w:tc>
        <w:tc>
          <w:tcPr>
            <w:tcW w:type="dxa" w:w="1663"/>
          </w:tcPr>
          <w:p>
            <w:pPr>
              <w:spacing w:before="0" w:after="0" w:line="264" w:lineRule="auto"/>
            </w:pPr>
            <w:r>
              <w:rPr>
                <w:rFonts w:ascii="Arial" w:hAnsi="Arial" w:cs="Arial" w:eastAsia="Arial"/>
                <w:color w:val="0E1E3A"/>
                <w:sz w:val="17"/>
                <w:szCs w:val="17"/>
              </w:rPr>
              <w:t>8.40</w:t>
            </w:r>
          </w:p>
        </w:tc>
        <w:tc>
          <w:tcPr>
            <w:tcW w:type="dxa" w:w="1663"/>
          </w:tcPr>
          <w:p>
            <w:pPr>
              <w:spacing w:before="0" w:after="0" w:line="264" w:lineRule="auto"/>
            </w:pPr>
            <w:r>
              <w:rPr>
                <w:rFonts w:ascii="Arial" w:hAnsi="Arial" w:cs="Arial" w:eastAsia="Arial"/>
                <w:color w:val="0E1E3A"/>
                <w:sz w:val="17"/>
                <w:szCs w:val="17"/>
              </w:rPr>
              <w:t>8.07</w:t>
            </w:r>
          </w:p>
        </w:tc>
        <w:tc>
          <w:tcPr>
            <w:tcW w:type="dxa" w:w="1663"/>
          </w:tcPr>
          <w:p>
            <w:pPr>
              <w:spacing w:before="0" w:after="0" w:line="264" w:lineRule="auto"/>
            </w:pPr>
            <w:r>
              <w:rPr>
                <w:rFonts w:ascii="Arial" w:hAnsi="Arial" w:cs="Arial" w:eastAsia="Arial"/>
                <w:color w:val="0E1E3A"/>
                <w:sz w:val="17"/>
                <w:szCs w:val="17"/>
              </w:rPr>
              <w:t>14.64</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(25.74)</w:t>
            </w:r>
          </w:p>
        </w:tc>
        <w:tc>
          <w:tcPr>
            <w:tcW w:type="dxa" w:w="1663"/>
          </w:tcPr>
          <w:p>
            <w:pPr>
              <w:spacing w:before="0" w:after="0" w:line="264" w:lineRule="auto"/>
            </w:pPr>
            <w:r>
              <w:rPr>
                <w:rFonts w:ascii="Arial" w:hAnsi="Arial" w:cs="Arial" w:eastAsia="Arial"/>
                <w:color w:val="0E1E3A"/>
                <w:sz w:val="17"/>
                <w:szCs w:val="17"/>
              </w:rPr>
              <w:t>(1.34)</w:t>
            </w:r>
          </w:p>
        </w:tc>
        <w:tc>
          <w:tcPr>
            <w:tcW w:type="dxa" w:w="1663"/>
          </w:tcPr>
          <w:p>
            <w:pPr>
              <w:spacing w:before="0" w:after="0" w:line="264" w:lineRule="auto"/>
            </w:pPr>
            <w:r>
              <w:rPr>
                <w:rFonts w:ascii="Arial" w:hAnsi="Arial" w:cs="Arial" w:eastAsia="Arial"/>
                <w:color w:val="0E1E3A"/>
                <w:sz w:val="17"/>
                <w:szCs w:val="17"/>
              </w:rPr>
              <w:t>(2.04)</w:t>
            </w:r>
          </w:p>
        </w:tc>
        <w:tc>
          <w:tcPr>
            <w:tcW w:type="dxa" w:w="1663"/>
          </w:tcPr>
          <w:p>
            <w:pPr>
              <w:spacing w:before="0" w:after="0" w:line="264" w:lineRule="auto"/>
            </w:pPr>
            <w:r>
              <w:rPr>
                <w:rFonts w:ascii="Arial" w:hAnsi="Arial" w:cs="Arial" w:eastAsia="Arial"/>
                <w:color w:val="0E1E3A"/>
                <w:sz w:val="17"/>
                <w:szCs w:val="17"/>
              </w:rPr>
              <w:t>1.13</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184.31%</w:t>
            </w:r>
          </w:p>
        </w:tc>
        <w:tc>
          <w:tcPr>
            <w:tcW w:type="dxa" w:w="1663"/>
          </w:tcPr>
          <w:p>
            <w:pPr>
              <w:spacing w:before="0" w:after="0" w:line="264" w:lineRule="auto"/>
            </w:pPr>
            <w:r>
              <w:rPr>
                <w:rFonts w:ascii="Arial" w:hAnsi="Arial" w:cs="Arial" w:eastAsia="Arial"/>
                <w:color w:val="0E1E3A"/>
                <w:sz w:val="17"/>
                <w:szCs w:val="17"/>
              </w:rPr>
              <w:t>-3.33%</w:t>
            </w:r>
          </w:p>
        </w:tc>
        <w:tc>
          <w:tcPr>
            <w:tcW w:type="dxa" w:w="1663"/>
          </w:tcPr>
          <w:p>
            <w:pPr>
              <w:spacing w:before="0" w:after="0" w:line="264" w:lineRule="auto"/>
            </w:pPr>
            <w:r>
              <w:rPr>
                <w:rFonts w:ascii="Arial" w:hAnsi="Arial" w:cs="Arial" w:eastAsia="Arial"/>
                <w:color w:val="0E1E3A"/>
                <w:sz w:val="17"/>
                <w:szCs w:val="17"/>
              </w:rPr>
              <w:t>9.54%</w:t>
            </w:r>
          </w:p>
        </w:tc>
        <w:tc>
          <w:tcPr>
            <w:tcW w:type="dxa" w:w="1663"/>
          </w:tcPr>
          <w:p>
            <w:pPr>
              <w:spacing w:before="0" w:after="0" w:line="264" w:lineRule="auto"/>
            </w:pPr>
            <w:r>
              <w:rPr>
                <w:rFonts w:ascii="Arial" w:hAnsi="Arial" w:cs="Arial" w:eastAsia="Arial"/>
                <w:color w:val="0E1E3A"/>
                <w:sz w:val="17"/>
                <w:szCs w:val="17"/>
              </w:rPr>
              <w:t>-10.56%</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-1.28%</w:t>
            </w:r>
          </w:p>
        </w:tc>
        <w:tc>
          <w:tcPr>
            <w:tcW w:type="dxa" w:w="1663"/>
          </w:tcPr>
          <w:p>
            <w:pPr>
              <w:spacing w:before="0" w:after="0" w:line="264" w:lineRule="auto"/>
            </w:pPr>
            <w:r>
              <w:rPr>
                <w:rFonts w:ascii="Arial" w:hAnsi="Arial" w:cs="Arial" w:eastAsia="Arial"/>
                <w:color w:val="0E1E3A"/>
                <w:sz w:val="17"/>
                <w:szCs w:val="17"/>
              </w:rPr>
              <w:t>-2.54%</w:t>
            </w:r>
          </w:p>
        </w:tc>
        <w:tc>
          <w:tcPr>
            <w:tcW w:type="dxa" w:w="1663"/>
          </w:tcPr>
          <w:p>
            <w:pPr>
              <w:spacing w:before="0" w:after="0" w:line="264" w:lineRule="auto"/>
            </w:pPr>
            <w:r>
              <w:rPr>
                <w:rFonts w:ascii="Arial" w:hAnsi="Arial" w:cs="Arial" w:eastAsia="Arial"/>
                <w:color w:val="0E1E3A"/>
                <w:sz w:val="17"/>
                <w:szCs w:val="17"/>
              </w:rPr>
              <w:t>-1.61%</w:t>
            </w:r>
          </w:p>
        </w:tc>
        <w:tc>
          <w:tcPr>
            <w:tcW w:type="dxa" w:w="1663"/>
          </w:tcPr>
          <w:p>
            <w:pPr>
              <w:spacing w:before="0" w:after="0" w:line="264" w:lineRule="auto"/>
            </w:pPr>
            <w:r>
              <w:rPr>
                <w:rFonts w:ascii="Arial" w:hAnsi="Arial" w:cs="Arial" w:eastAsia="Arial"/>
                <w:color w:val="0E1E3A"/>
                <w:sz w:val="17"/>
                <w:szCs w:val="17"/>
              </w:rPr>
              <w:t>-0.65%</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r>
        <w:tc>
          <w:tcPr>
            <w:tcW w:type="dxa" w:w="3326"/>
          </w:tcPr>
          <w:p>
            <w:pPr>
              <w:spacing w:before="0" w:after="0" w:line="264" w:lineRule="auto"/>
            </w:pPr>
            <w:r>
              <w:rPr>
                <w:rFonts w:ascii="Arial" w:hAnsi="Arial" w:cs="Arial" w:eastAsia="Arial"/>
                <w:color w:val="0E1E3A"/>
                <w:sz w:val="17"/>
                <w:szCs w:val="17"/>
              </w:rPr>
              <w:t>Information Ratio</w:t>
            </w:r>
          </w:p>
        </w:tc>
        <w:tc>
          <w:tcPr>
            <w:tcW w:type="dxa" w:w="3326"/>
          </w:tcPr>
          <w:p>
            <w:pPr>
              <w:spacing w:before="0" w:after="0" w:line="264" w:lineRule="auto"/>
            </w:pPr>
            <w:r>
              <w:rPr>
                <w:rFonts w:ascii="Arial" w:hAnsi="Arial" w:cs="Arial" w:eastAsia="Arial"/>
                <w:color w:val="0E1E3A"/>
                <w:sz w:val="17"/>
                <w:szCs w:val="17"/>
              </w:rPr>
              <w:t>IR = (Rp − Rb) / σ (Rp −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 Return of the portfolio</w:t>
            </w:r>
            <w:r>
              <w:br/>
            </w:r>
            <w:r>
              <w:rPr>
                <w:rFonts w:ascii="Arial" w:hAnsi="Arial" w:cs="Arial" w:eastAsia="Arial"/>
                <w:color w:val="0E1E3A"/>
                <w:sz w:val="17"/>
                <w:szCs w:val="17"/>
              </w:rPr>
              <w:t>Rb = Return of the benchmark</w:t>
            </w:r>
            <w:r>
              <w:br/>
            </w:r>
            <w:r>
              <w:rPr>
                <w:rFonts w:ascii="Arial" w:hAnsi="Arial" w:cs="Arial" w:eastAsia="Arial"/>
                <w:color w:val="0E1E3A"/>
                <w:sz w:val="17"/>
                <w:szCs w:val="17"/>
              </w:rPr>
              <w:t>Rp-Rb = Active return (the difference between portfolio and benchmark returns</w:t>
            </w:r>
            <w:r>
              <w:br/>
            </w:r>
            <w:r>
              <w:rPr>
                <w:rFonts w:ascii="Arial" w:hAnsi="Arial" w:cs="Arial" w:eastAsia="Arial"/>
                <w:color w:val="0E1E3A"/>
                <w:sz w:val="17"/>
                <w:szCs w:val="17"/>
              </w:rPr>
              <w:t>σ(Rp−Rb) = Tracking error (standard deviation of the active return)</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Performance Since the Inception of the Fund:</w:t>
      </w:r>
    </w:p>
    <w:p>
      <w:pPr>
        <w:spacing w:before="0" w:after="80" w:line="240" w:lineRule="auto"/>
        <w:jc w:val="center"/>
      </w:pPr>
      <w:r>
        <w:drawing>
          <wp:inline xmlns:a="http://schemas.openxmlformats.org/drawingml/2006/main" xmlns:pic="http://schemas.openxmlformats.org/drawingml/2006/picture">
            <wp:extent cx="6336000" cy="2730378"/>
            <wp:docPr id="22" name="Picture 9050"/>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As at 30 September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1"/>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2"/>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Q3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