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1"/>
            <wp:cNvGraphicFramePr/>
            <a:graphic>
              <a:graphicData uri="http://schemas.openxmlformats.org/drawingml/2006/picture">
                <pic:pic>
                  <pic:nvPicPr>
                    <pic:cNvPr id="9021" name="banner9021.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 ("الصندوق") هو صندوق استثمار متداول مغلق متوافق مع ضوابط الهيئة الشرعية، وتم إنشاؤه بموجب 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10.2462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600,803,847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113,306,286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‎18.86%‎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‎23.39%‎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ونسبة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‎0.21%‎</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2021م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978811"/>
            <wp:docPr id="5" name="Picture 902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600,803,847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484,454,364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ونسبة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‎0.20%‎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‎0.24%‎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المصروفات و 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1,466,711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 الأتعاب الإجمالية للربع المعني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‎0.30%‎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2021م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28"/>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138,235,898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219,888,478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76,301,845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94,447,247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71,930,379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1" name="Picture 9031"/>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91892"/>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الرابع (31 ديسمبر 2021م)</w:t>
            </w:r>
          </w:p>
        </w:tc>
        <w:tc>
          <w:tcPr>
            <w:tcW w:type="dxa" w:w="6860"/>
          </w:tcPr>
          <w:p>
            <w:pPr>
              <w:bidi w:val="1"/>
              <w:spacing w:before="0" w:after="0" w:line="276" w:lineRule="auto"/>
            </w:pPr>
            <w:r>
              <w:rPr>
                <w:rFonts w:ascii="Arial" w:hAnsi="Arial" w:cs="Arial" w:eastAsia="Arial"/>
                <w:b/>
                <w:bCs/>
                <w:color w:val="0E1E3A"/>
                <w:sz w:val="18"/>
                <w:szCs w:val="18"/>
                <w:rtl/>
              </w:rPr>
              <w:t>8.67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(من تاريخ 30 سبتمبر 2021م إلى 31 ديسمبر 2021م)*</w:t>
            </w:r>
          </w:p>
        </w:tc>
        <w:tc>
          <w:tcPr>
            <w:tcW w:type="dxa" w:w="6860"/>
          </w:tcPr>
          <w:p>
            <w:pPr>
              <w:bidi w:val="1"/>
              <w:spacing w:before="0" w:after="0" w:line="276" w:lineRule="auto"/>
            </w:pPr>
            <w:r>
              <w:rPr>
                <w:rFonts w:ascii="Arial" w:hAnsi="Arial" w:cs="Arial" w:eastAsia="Arial"/>
                <w:b/>
                <w:bCs/>
                <w:color w:val="0E1E3A"/>
                <w:sz w:val="18"/>
                <w:szCs w:val="18"/>
              </w:rPr>
              <w:t>‎-4.20%‎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الرابع 2021م)</w:t>
            </w:r>
          </w:p>
        </w:tc>
        <w:tc>
          <w:tcPr>
            <w:tcW w:type="dxa" w:w="6860"/>
          </w:tcPr>
          <w:p>
            <w:pPr>
              <w:bidi w:val="1"/>
              <w:spacing w:before="0" w:after="0" w:line="276" w:lineRule="auto"/>
            </w:pPr>
            <w:r>
              <w:rPr>
                <w:rFonts w:ascii="Arial" w:hAnsi="Arial" w:cs="Arial" w:eastAsia="Arial"/>
                <w:b/>
                <w:bCs/>
                <w:color w:val="0E1E3A"/>
                <w:sz w:val="18"/>
                <w:szCs w:val="18"/>
              </w:rPr>
              <w:t>‎-13.30%‎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12.00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8.59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30 سبتمبر 2021م = 9.05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4"/>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عن الربع</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من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للفترة (1 أكتوبر 2021م - 31 ديسمبر 2021م)</w:t>
            </w:r>
          </w:p>
        </w:tc>
        <w:tc>
          <w:tcPr>
            <w:tcW w:type="dxa" w:w="6860"/>
          </w:tcPr>
          <w:p>
            <w:pPr>
              <w:bidi w:val="1"/>
              <w:spacing w:before="0" w:after="0" w:line="276" w:lineRule="auto"/>
            </w:pPr>
            <w:r>
              <w:rPr>
                <w:rFonts w:ascii="Arial" w:hAnsi="Arial" w:cs="Arial" w:eastAsia="Arial"/>
                <w:b/>
                <w:bCs/>
                <w:color w:val="0E1E3A"/>
                <w:sz w:val="18"/>
                <w:szCs w:val="18"/>
                <w:rtl/>
              </w:rPr>
              <w:t>8,273,117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الدخل للفترة على سعر الوحدة (31 ديسمبر 2021م)</w:t>
            </w:r>
          </w:p>
        </w:tc>
        <w:tc>
          <w:tcPr>
            <w:tcW w:type="dxa" w:w="6860"/>
          </w:tcPr>
          <w:p>
            <w:pPr>
              <w:bidi w:val="1"/>
              <w:spacing w:before="0" w:after="0" w:line="276" w:lineRule="auto"/>
            </w:pPr>
            <w:r>
              <w:rPr>
                <w:rFonts w:ascii="Arial" w:hAnsi="Arial" w:cs="Arial" w:eastAsia="Arial"/>
                <w:b/>
                <w:bCs/>
                <w:color w:val="0E1E3A"/>
                <w:sz w:val="18"/>
                <w:szCs w:val="18"/>
              </w:rPr>
              <w:t>‎2.02%‎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المعني (أي ربح مدفوع لاحق لآخر تقرير تم الإفصاح عنه)</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لكل وحدة</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على سعر الوحدة *</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‎0.00%‎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(الليبور- LIBOR) لمدة 12 شهر زائد 300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‎-4.20%‎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‎-13.30%‎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‎-11.50%‎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نهاية الربع الثالث إلى نهاية الربع الرابع من العام 2021م.</w:t>
      </w:r>
      <w:r>
        <w:br/>
      </w:r>
      <w:r>
        <w:rPr>
          <w:rFonts w:ascii="Arial" w:hAnsi="Arial" w:cs="Arial" w:eastAsia="Arial"/>
          <w:color w:val="5A6478"/>
          <w:sz w:val="17"/>
          <w:szCs w:val="17"/>
          <w:rtl/>
        </w:rPr>
        <w:t>** من تاريخ بدء الصندوق إلى نهاية الربع الرابع من العام 2021م.</w:t>
      </w:r>
      <w:r>
        <w:br/>
      </w:r>
      <w:r>
        <w:rPr>
          <w:rFonts w:ascii="Arial" w:hAnsi="Arial" w:cs="Arial" w:eastAsia="Arial"/>
          <w:color w:val="5A6478"/>
          <w:sz w:val="17"/>
          <w:szCs w:val="17"/>
          <w:rtl/>
        </w:rPr>
        <w:t>*** العائد الكلي = أداء سعر الوحدة + إجمالي الأرباح الموزعة (إن وجدت).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36"/>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(الليبور- LIBOR) لمدة 12 شهر زائد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10.10</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10.25</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‎1.43%‎</w:t>
            </w:r>
          </w:p>
        </w:tc>
        <w:tc>
          <w:tcPr>
            <w:tcW w:type="dxa" w:w="3326"/>
          </w:tcPr>
          <w:p>
            <w:pPr>
              <w:bidi w:val="1"/>
              <w:spacing w:before="0" w:after="0" w:line="264" w:lineRule="auto"/>
            </w:pPr>
            <w:r>
              <w:rPr>
                <w:rFonts w:ascii="Arial" w:hAnsi="Arial" w:cs="Arial" w:eastAsia="Arial"/>
                <w:color w:val="0E1E3A"/>
                <w:sz w:val="17"/>
                <w:szCs w:val="17"/>
              </w:rPr>
              <w:t>‎0.85%‎</w:t>
            </w:r>
            <w:r>
              <w:rPr>
                <w:rFonts w:ascii="Arial" w:hAnsi="Arial" w:cs="Arial" w:eastAsia="Arial"/>
                <w:color w:val="0E1E3A"/>
                <w:sz w:val="17"/>
                <w:szCs w:val="17"/>
                <w:rtl/>
              </w:rPr>
              <w:t xml:space="preserve"> ***</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2021م</w:t>
      </w:r>
      <w:r>
        <w:br/>
      </w:r>
      <w:r>
        <w:rPr>
          <w:rFonts w:ascii="Arial" w:hAnsi="Arial" w:cs="Arial" w:eastAsia="Arial"/>
          <w:color w:val="5A6478"/>
          <w:sz w:val="17"/>
          <w:szCs w:val="17"/>
          <w:rtl/>
        </w:rPr>
        <w:t>** كما في تاريخ 31 ديسمبر 2021م</w:t>
      </w:r>
      <w:r>
        <w:br/>
      </w:r>
      <w:r>
        <w:rPr>
          <w:rFonts w:ascii="Arial" w:hAnsi="Arial" w:cs="Arial" w:eastAsia="Arial"/>
          <w:color w:val="5A6478"/>
          <w:sz w:val="17"/>
          <w:szCs w:val="17"/>
          <w:rtl/>
        </w:rPr>
        <w:t xml:space="preserve">*** عائد المؤشر الاسترشادي </w:t>
      </w:r>
      <w:r>
        <w:rPr>
          <w:rFonts w:ascii="Arial" w:hAnsi="Arial" w:cs="Arial" w:eastAsia="Arial"/>
          <w:color w:val="5A6478"/>
          <w:sz w:val="17"/>
          <w:szCs w:val="17"/>
        </w:rPr>
        <w:t>‎3.40%‎</w:t>
      </w:r>
      <w:r>
        <w:rPr>
          <w:rFonts w:ascii="Arial" w:hAnsi="Arial" w:cs="Arial" w:eastAsia="Arial"/>
          <w:color w:val="5A6478"/>
          <w:sz w:val="17"/>
          <w:szCs w:val="17"/>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3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3 أشهر*</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منذ بدء الصندوق حتى تاريخ 31 ديسمبر 2021م**</w:t>
            </w:r>
          </w:p>
        </w:tc>
      </w:tr>
      <w:tr>
        <w:tc>
          <w:tcPr>
            <w:tcW w:type="dxa" w:w="3326"/>
          </w:tcPr>
          <w:p>
            <w:pPr>
              <w:bidi w:val="1"/>
              <w:spacing w:before="0" w:after="0" w:line="264" w:lineRule="auto"/>
            </w:pPr>
            <w:r>
              <w:rPr>
                <w:rFonts w:ascii="Arial" w:hAnsi="Arial" w:cs="Arial" w:eastAsia="Arial"/>
                <w:color w:val="0E1E3A"/>
                <w:sz w:val="17"/>
                <w:szCs w:val="17"/>
                <w:rtl/>
              </w:rPr>
              <w:t>أداء صافي قيمة الوحدة</w:t>
            </w:r>
          </w:p>
        </w:tc>
        <w:tc>
          <w:tcPr>
            <w:tcW w:type="dxa" w:w="3326"/>
          </w:tcPr>
          <w:p>
            <w:pPr>
              <w:bidi w:val="1"/>
              <w:spacing w:before="0" w:after="0" w:line="264" w:lineRule="auto"/>
            </w:pPr>
            <w:r>
              <w:rPr>
                <w:rFonts w:ascii="Arial" w:hAnsi="Arial" w:cs="Arial" w:eastAsia="Arial"/>
                <w:color w:val="0E1E3A"/>
                <w:sz w:val="17"/>
                <w:szCs w:val="17"/>
              </w:rPr>
              <w:t>‎1.43%‎</w:t>
            </w:r>
          </w:p>
        </w:tc>
        <w:tc>
          <w:tcPr>
            <w:tcW w:type="dxa" w:w="3326"/>
          </w:tcPr>
          <w:p>
            <w:pPr>
              <w:bidi w:val="1"/>
              <w:spacing w:before="0" w:after="0" w:line="264" w:lineRule="auto"/>
            </w:pPr>
            <w:r>
              <w:rPr>
                <w:rFonts w:ascii="Arial" w:hAnsi="Arial" w:cs="Arial" w:eastAsia="Arial"/>
                <w:color w:val="0E1E3A"/>
                <w:sz w:val="17"/>
                <w:szCs w:val="17"/>
              </w:rPr>
              <w:t>‎4.26%‎</w:t>
            </w:r>
          </w:p>
        </w:tc>
      </w:tr>
      <w:tr>
        <w:tc>
          <w:tcPr>
            <w:tcW w:type="dxa" w:w="3326"/>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3326"/>
          </w:tcPr>
          <w:p>
            <w:pPr>
              <w:bidi w:val="1"/>
              <w:spacing w:before="0" w:after="0" w:line="264" w:lineRule="auto"/>
            </w:pPr>
            <w:r>
              <w:rPr>
                <w:rFonts w:ascii="Arial" w:hAnsi="Arial" w:cs="Arial" w:eastAsia="Arial"/>
                <w:color w:val="0E1E3A"/>
                <w:sz w:val="17"/>
                <w:szCs w:val="17"/>
              </w:rPr>
              <w:t>‎0.85%‎</w:t>
            </w:r>
          </w:p>
        </w:tc>
        <w:tc>
          <w:tcPr>
            <w:tcW w:type="dxa" w:w="3326"/>
          </w:tcPr>
          <w:p>
            <w:pPr>
              <w:bidi w:val="1"/>
              <w:spacing w:before="0" w:after="0" w:line="264" w:lineRule="auto"/>
            </w:pPr>
            <w:r>
              <w:rPr>
                <w:rFonts w:ascii="Arial" w:hAnsi="Arial" w:cs="Arial" w:eastAsia="Arial"/>
                <w:color w:val="0E1E3A"/>
                <w:sz w:val="17"/>
                <w:szCs w:val="17"/>
              </w:rPr>
              <w:t>‎3.24%‎</w:t>
            </w:r>
          </w:p>
        </w:tc>
      </w:tr>
      <w:tr>
        <w:tc>
          <w:tcPr>
            <w:tcW w:type="dxa" w:w="3326"/>
          </w:tcPr>
          <w:p>
            <w:pPr>
              <w:bidi w:val="1"/>
              <w:spacing w:before="0" w:after="0" w:line="264" w:lineRule="auto"/>
            </w:pPr>
            <w:r>
              <w:rPr>
                <w:rFonts w:ascii="Arial" w:hAnsi="Arial" w:cs="Arial" w:eastAsia="Arial"/>
                <w:color w:val="0E1E3A"/>
                <w:sz w:val="17"/>
                <w:szCs w:val="17"/>
                <w:rtl/>
              </w:rPr>
              <w:t>فارق الأداء</w:t>
            </w:r>
          </w:p>
        </w:tc>
        <w:tc>
          <w:tcPr>
            <w:tcW w:type="dxa" w:w="3326"/>
          </w:tcPr>
          <w:p>
            <w:pPr>
              <w:bidi w:val="1"/>
              <w:spacing w:before="0" w:after="0" w:line="264" w:lineRule="auto"/>
            </w:pPr>
            <w:r>
              <w:rPr>
                <w:rFonts w:ascii="Arial" w:hAnsi="Arial" w:cs="Arial" w:eastAsia="Arial"/>
                <w:color w:val="0E1E3A"/>
                <w:sz w:val="17"/>
                <w:szCs w:val="17"/>
              </w:rPr>
              <w:t>‎0.58%‎</w:t>
            </w:r>
          </w:p>
        </w:tc>
        <w:tc>
          <w:tcPr>
            <w:tcW w:type="dxa" w:w="3326"/>
          </w:tcPr>
          <w:p>
            <w:pPr>
              <w:bidi w:val="1"/>
              <w:spacing w:before="0" w:after="0" w:line="264" w:lineRule="auto"/>
            </w:pPr>
            <w:r>
              <w:rPr>
                <w:rFonts w:ascii="Arial" w:hAnsi="Arial" w:cs="Arial" w:eastAsia="Arial"/>
                <w:color w:val="0E1E3A"/>
                <w:sz w:val="17"/>
                <w:szCs w:val="17"/>
              </w:rPr>
              <w:t>‎1.02%‎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1 أكتوبر 2021م إلى 31 ديسمبر 2021م.</w:t>
      </w:r>
      <w:r>
        <w:br/>
      </w:r>
      <w:r>
        <w:rPr>
          <w:rFonts w:ascii="Arial" w:hAnsi="Arial" w:cs="Arial" w:eastAsia="Arial"/>
          <w:color w:val="5A6478"/>
          <w:sz w:val="17"/>
          <w:szCs w:val="17"/>
          <w:rtl/>
        </w:rPr>
        <w:t xml:space="preserve">** عن الفترة من 19 يناير 2021م إلى 31 ديسمبر 2021م متضمنة التوزيعات النقدية بنسبة </w:t>
      </w:r>
      <w:r>
        <w:rPr>
          <w:rFonts w:ascii="Arial" w:hAnsi="Arial" w:cs="Arial" w:eastAsia="Arial"/>
          <w:color w:val="5A6478"/>
          <w:sz w:val="17"/>
          <w:szCs w:val="17"/>
        </w:rPr>
        <w:t>‎1.80%‎</w:t>
      </w:r>
      <w:r>
        <w:rPr>
          <w:rFonts w:ascii="Arial" w:hAnsi="Arial" w:cs="Arial" w:eastAsia="Arial"/>
          <w:color w:val="5A6478"/>
          <w:sz w:val="17"/>
          <w:szCs w:val="17"/>
          <w:rtl/>
        </w:rPr>
        <w:t>.</w:t>
      </w:r>
      <w:r>
        <w:br/>
      </w:r>
      <w:r>
        <w:rPr>
          <w:rFonts w:ascii="Arial" w:hAnsi="Arial" w:cs="Arial" w:eastAsia="Arial"/>
          <w:color w:val="5A6478"/>
          <w:sz w:val="17"/>
          <w:szCs w:val="17"/>
          <w:rtl/>
        </w:rPr>
        <w:t>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39"/>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3 أشهر</w:t>
            </w:r>
            <w:r>
              <w:rPr>
                <w:rFonts w:ascii="Arial" w:hAnsi="Arial" w:cs="Arial" w:eastAsia="Arial"/>
                <w:b/>
                <w:bCs/>
                <w:color w:val="FFFFFF"/>
                <w:sz w:val="17"/>
                <w:szCs w:val="17"/>
                <w:rtl/>
              </w:rPr>
              <w:t>1</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منذ بدء الصندوق حتى تاريخ 31 ديسمبر 2021م</w:t>
            </w:r>
            <w:r>
              <w:rPr>
                <w:rFonts w:ascii="Arial" w:hAnsi="Arial" w:cs="Arial" w:eastAsia="Arial"/>
                <w:b/>
                <w:bCs/>
                <w:color w:val="FFFFFF"/>
                <w:sz w:val="17"/>
                <w:szCs w:val="17"/>
                <w:rtl/>
              </w:rPr>
              <w:t>2</w:t>
            </w:r>
          </w:p>
        </w:tc>
      </w:tr>
      <w:tr>
        <w:tc>
          <w:tcPr>
            <w:tcW w:type="dxa" w:w="3326"/>
          </w:tcPr>
          <w:p>
            <w:pPr>
              <w:bidi w:val="1"/>
              <w:spacing w:before="0" w:after="0" w:line="264" w:lineRule="auto"/>
            </w:pPr>
            <w:r>
              <w:rPr>
                <w:rFonts w:ascii="Arial" w:hAnsi="Arial" w:cs="Arial" w:eastAsia="Arial"/>
                <w:color w:val="0E1E3A"/>
                <w:sz w:val="17"/>
                <w:szCs w:val="17"/>
                <w:rtl/>
              </w:rPr>
              <w:t>الانحراف المعياري</w:t>
            </w:r>
            <w:r>
              <w:rPr>
                <w:rFonts w:ascii="Arial" w:hAnsi="Arial" w:cs="Arial" w:eastAsia="Arial"/>
                <w:color w:val="0E1E3A"/>
                <w:sz w:val="17"/>
                <w:szCs w:val="17"/>
                <w:rtl/>
              </w:rPr>
              <w:t>3</w:t>
            </w:r>
          </w:p>
        </w:tc>
        <w:tc>
          <w:tcPr>
            <w:tcW w:type="dxa" w:w="3326"/>
          </w:tcPr>
          <w:p>
            <w:pPr>
              <w:bidi w:val="1"/>
              <w:spacing w:before="0" w:after="0" w:line="264" w:lineRule="auto"/>
            </w:pPr>
            <w:r>
              <w:rPr>
                <w:rFonts w:ascii="Arial" w:hAnsi="Arial" w:cs="Arial" w:eastAsia="Arial"/>
                <w:color w:val="0E1E3A"/>
                <w:sz w:val="17"/>
                <w:szCs w:val="17"/>
                <w:rtl/>
              </w:rPr>
              <w:t>6.42</w:t>
            </w:r>
          </w:p>
        </w:tc>
        <w:tc>
          <w:tcPr>
            <w:tcW w:type="dxa" w:w="3326"/>
          </w:tcPr>
          <w:p>
            <w:pPr>
              <w:bidi w:val="1"/>
              <w:spacing w:before="0" w:after="0" w:line="264" w:lineRule="auto"/>
            </w:pPr>
            <w:r>
              <w:rPr>
                <w:rFonts w:ascii="Arial" w:hAnsi="Arial" w:cs="Arial" w:eastAsia="Arial"/>
                <w:color w:val="0E1E3A"/>
                <w:sz w:val="17"/>
                <w:szCs w:val="17"/>
                <w:rtl/>
              </w:rPr>
              <w:t>9.83</w:t>
            </w:r>
          </w:p>
        </w:tc>
      </w:tr>
      <w:tr>
        <w:tc>
          <w:tcPr>
            <w:tcW w:type="dxa" w:w="3326"/>
          </w:tcPr>
          <w:p>
            <w:pPr>
              <w:bidi w:val="1"/>
              <w:spacing w:before="0" w:after="0" w:line="264" w:lineRule="auto"/>
            </w:pPr>
            <w:r>
              <w:rPr>
                <w:rFonts w:ascii="Arial" w:hAnsi="Arial" w:cs="Arial" w:eastAsia="Arial"/>
                <w:color w:val="0E1E3A"/>
                <w:sz w:val="17"/>
                <w:szCs w:val="17"/>
                <w:rtl/>
              </w:rPr>
              <w:t>مؤشر شارب</w:t>
            </w:r>
            <w:r>
              <w:rPr>
                <w:rFonts w:ascii="Arial" w:hAnsi="Arial" w:cs="Arial" w:eastAsia="Arial"/>
                <w:color w:val="0E1E3A"/>
                <w:sz w:val="17"/>
                <w:szCs w:val="17"/>
                <w:rtl/>
              </w:rPr>
              <w:t>4</w:t>
            </w:r>
          </w:p>
        </w:tc>
        <w:tc>
          <w:tcPr>
            <w:tcW w:type="dxa" w:w="3326"/>
          </w:tcPr>
          <w:p>
            <w:pPr>
              <w:bidi w:val="1"/>
              <w:spacing w:before="0" w:after="0" w:line="264" w:lineRule="auto"/>
            </w:pPr>
            <w:r>
              <w:rPr>
                <w:rFonts w:ascii="Arial" w:hAnsi="Arial" w:cs="Arial" w:eastAsia="Arial"/>
                <w:color w:val="0E1E3A"/>
                <w:sz w:val="17"/>
                <w:szCs w:val="17"/>
                <w:rtl/>
              </w:rPr>
              <w:t>-2.33</w:t>
            </w:r>
          </w:p>
        </w:tc>
        <w:tc>
          <w:tcPr>
            <w:tcW w:type="dxa" w:w="3326"/>
          </w:tcPr>
          <w:p>
            <w:pPr>
              <w:bidi w:val="1"/>
              <w:spacing w:before="0" w:after="0" w:line="264" w:lineRule="auto"/>
            </w:pPr>
            <w:r>
              <w:rPr>
                <w:rFonts w:ascii="Arial" w:hAnsi="Arial" w:cs="Arial" w:eastAsia="Arial"/>
                <w:color w:val="0E1E3A"/>
                <w:sz w:val="17"/>
                <w:szCs w:val="17"/>
                <w:rtl/>
              </w:rPr>
              <w:t>-1.25</w:t>
            </w:r>
          </w:p>
        </w:tc>
      </w:tr>
      <w:tr>
        <w:tc>
          <w:tcPr>
            <w:tcW w:type="dxa" w:w="3326"/>
          </w:tcPr>
          <w:p>
            <w:pPr>
              <w:bidi w:val="1"/>
              <w:spacing w:before="0" w:after="0" w:line="264" w:lineRule="auto"/>
            </w:pPr>
            <w:r>
              <w:rPr>
                <w:rFonts w:ascii="Arial" w:hAnsi="Arial" w:cs="Arial" w:eastAsia="Arial"/>
                <w:color w:val="0E1E3A"/>
                <w:sz w:val="17"/>
                <w:szCs w:val="17"/>
                <w:rtl/>
              </w:rPr>
              <w:t>خطأ التتبع</w:t>
            </w:r>
            <w:r>
              <w:rPr>
                <w:rFonts w:ascii="Arial" w:hAnsi="Arial" w:cs="Arial" w:eastAsia="Arial"/>
                <w:color w:val="0E1E3A"/>
                <w:sz w:val="17"/>
                <w:szCs w:val="17"/>
                <w:rtl/>
              </w:rPr>
              <w:t>5</w:t>
            </w:r>
          </w:p>
        </w:tc>
        <w:tc>
          <w:tcPr>
            <w:tcW w:type="dxa" w:w="3326"/>
          </w:tcPr>
          <w:p>
            <w:pPr>
              <w:bidi w:val="1"/>
              <w:spacing w:before="0" w:after="0" w:line="264" w:lineRule="auto"/>
            </w:pPr>
            <w:r>
              <w:rPr>
                <w:rFonts w:ascii="Arial" w:hAnsi="Arial" w:cs="Arial" w:eastAsia="Arial"/>
                <w:color w:val="0E1E3A"/>
                <w:sz w:val="17"/>
                <w:szCs w:val="17"/>
                <w:rtl/>
              </w:rPr>
              <w:t>6.43</w:t>
            </w:r>
          </w:p>
        </w:tc>
        <w:tc>
          <w:tcPr>
            <w:tcW w:type="dxa" w:w="3326"/>
          </w:tcPr>
          <w:p>
            <w:pPr>
              <w:bidi w:val="1"/>
              <w:spacing w:before="0" w:after="0" w:line="264" w:lineRule="auto"/>
            </w:pPr>
            <w:r>
              <w:rPr>
                <w:rFonts w:ascii="Arial" w:hAnsi="Arial" w:cs="Arial" w:eastAsia="Arial"/>
                <w:color w:val="0E1E3A"/>
                <w:sz w:val="17"/>
                <w:szCs w:val="17"/>
                <w:rtl/>
              </w:rPr>
              <w:t>9.84</w:t>
            </w:r>
          </w:p>
        </w:tc>
      </w:tr>
      <w:tr>
        <w:tc>
          <w:tcPr>
            <w:tcW w:type="dxa" w:w="3326"/>
          </w:tcPr>
          <w:p>
            <w:pPr>
              <w:bidi w:val="1"/>
              <w:spacing w:before="0" w:after="0" w:line="264" w:lineRule="auto"/>
            </w:pPr>
            <w:r>
              <w:rPr>
                <w:rFonts w:ascii="Arial" w:hAnsi="Arial" w:cs="Arial" w:eastAsia="Arial"/>
                <w:color w:val="0E1E3A"/>
                <w:sz w:val="17"/>
                <w:szCs w:val="17"/>
                <w:rtl/>
              </w:rPr>
              <w:t>بيتا</w:t>
            </w:r>
            <w:r>
              <w:rPr>
                <w:rFonts w:ascii="Arial" w:hAnsi="Arial" w:cs="Arial" w:eastAsia="Arial"/>
                <w:color w:val="0E1E3A"/>
                <w:sz w:val="17"/>
                <w:szCs w:val="17"/>
                <w:rtl/>
              </w:rPr>
              <w:t>6</w:t>
            </w:r>
          </w:p>
        </w:tc>
        <w:tc>
          <w:tcPr>
            <w:tcW w:type="dxa" w:w="3326"/>
          </w:tcPr>
          <w:p>
            <w:pPr>
              <w:bidi w:val="1"/>
              <w:spacing w:before="0" w:after="0" w:line="264" w:lineRule="auto"/>
            </w:pPr>
            <w:r>
              <w:rPr>
                <w:rFonts w:ascii="Arial" w:hAnsi="Arial" w:cs="Arial" w:eastAsia="Arial"/>
                <w:color w:val="0E1E3A"/>
                <w:sz w:val="17"/>
                <w:szCs w:val="17"/>
                <w:rtl/>
              </w:rPr>
              <w:t>-38.31</w:t>
            </w:r>
          </w:p>
        </w:tc>
        <w:tc>
          <w:tcPr>
            <w:tcW w:type="dxa" w:w="3326"/>
          </w:tcPr>
          <w:p>
            <w:pPr>
              <w:bidi w:val="1"/>
              <w:spacing w:before="0" w:after="0" w:line="264" w:lineRule="auto"/>
            </w:pPr>
            <w:r>
              <w:rPr>
                <w:rFonts w:ascii="Arial" w:hAnsi="Arial" w:cs="Arial" w:eastAsia="Arial"/>
                <w:color w:val="0E1E3A"/>
                <w:sz w:val="17"/>
                <w:szCs w:val="17"/>
                <w:rtl/>
              </w:rPr>
              <w:t>-6.67</w:t>
            </w:r>
          </w:p>
        </w:tc>
      </w:tr>
      <w:tr>
        <w:tc>
          <w:tcPr>
            <w:tcW w:type="dxa" w:w="3326"/>
          </w:tcPr>
          <w:p>
            <w:pPr>
              <w:bidi w:val="1"/>
              <w:spacing w:before="0" w:after="0" w:line="264" w:lineRule="auto"/>
            </w:pPr>
            <w:r>
              <w:rPr>
                <w:rFonts w:ascii="Arial" w:hAnsi="Arial" w:cs="Arial" w:eastAsia="Arial"/>
                <w:color w:val="0E1E3A"/>
                <w:sz w:val="17"/>
                <w:szCs w:val="17"/>
                <w:rtl/>
              </w:rPr>
              <w:t>ألفا</w:t>
            </w:r>
            <w:r>
              <w:rPr>
                <w:rFonts w:ascii="Arial" w:hAnsi="Arial" w:cs="Arial" w:eastAsia="Arial"/>
                <w:color w:val="0E1E3A"/>
                <w:sz w:val="17"/>
                <w:szCs w:val="17"/>
                <w:rtl/>
              </w:rPr>
              <w:t>7</w:t>
            </w:r>
          </w:p>
        </w:tc>
        <w:tc>
          <w:tcPr>
            <w:tcW w:type="dxa" w:w="3326"/>
          </w:tcPr>
          <w:p>
            <w:pPr>
              <w:bidi w:val="1"/>
              <w:spacing w:before="0" w:after="0" w:line="264" w:lineRule="auto"/>
            </w:pPr>
            <w:r>
              <w:rPr>
                <w:rFonts w:ascii="Arial" w:hAnsi="Arial" w:cs="Arial" w:eastAsia="Arial"/>
                <w:color w:val="0E1E3A"/>
                <w:sz w:val="17"/>
                <w:szCs w:val="17"/>
              </w:rPr>
              <w:t>‎-19.40%‎</w:t>
            </w:r>
          </w:p>
        </w:tc>
        <w:tc>
          <w:tcPr>
            <w:tcW w:type="dxa" w:w="3326"/>
          </w:tcPr>
          <w:p>
            <w:pPr>
              <w:bidi w:val="1"/>
              <w:spacing w:before="0" w:after="0" w:line="264" w:lineRule="auto"/>
            </w:pPr>
            <w:r>
              <w:rPr>
                <w:rFonts w:ascii="Arial" w:hAnsi="Arial" w:cs="Arial" w:eastAsia="Arial"/>
                <w:color w:val="0E1E3A"/>
                <w:sz w:val="17"/>
                <w:szCs w:val="17"/>
              </w:rPr>
              <w:t>‎-16.28%‎</w:t>
            </w:r>
          </w:p>
        </w:tc>
      </w:tr>
      <w:tr>
        <w:tc>
          <w:tcPr>
            <w:tcW w:type="dxa" w:w="3326"/>
          </w:tcPr>
          <w:p>
            <w:pPr>
              <w:bidi w:val="1"/>
              <w:spacing w:before="0" w:after="0" w:line="264" w:lineRule="auto"/>
            </w:pPr>
            <w:r>
              <w:rPr>
                <w:rFonts w:ascii="Arial" w:hAnsi="Arial" w:cs="Arial" w:eastAsia="Arial"/>
                <w:color w:val="0E1E3A"/>
                <w:sz w:val="17"/>
                <w:szCs w:val="17"/>
                <w:rtl/>
              </w:rPr>
              <w:t>مؤشر المعلومات</w:t>
            </w:r>
            <w:r>
              <w:rPr>
                <w:rFonts w:ascii="Arial" w:hAnsi="Arial" w:cs="Arial" w:eastAsia="Arial"/>
                <w:color w:val="0E1E3A"/>
                <w:sz w:val="17"/>
                <w:szCs w:val="17"/>
                <w:rtl/>
              </w:rPr>
              <w:t>8</w:t>
            </w:r>
          </w:p>
        </w:tc>
        <w:tc>
          <w:tcPr>
            <w:tcW w:type="dxa" w:w="3326"/>
          </w:tcPr>
          <w:p>
            <w:pPr>
              <w:bidi w:val="1"/>
              <w:spacing w:before="0" w:after="0" w:line="264" w:lineRule="auto"/>
            </w:pPr>
            <w:r>
              <w:rPr>
                <w:rFonts w:ascii="Arial" w:hAnsi="Arial" w:cs="Arial" w:eastAsia="Arial"/>
                <w:color w:val="0E1E3A"/>
                <w:sz w:val="17"/>
                <w:szCs w:val="17"/>
              </w:rPr>
              <w:t>‎-3.02%‎</w:t>
            </w:r>
          </w:p>
        </w:tc>
        <w:tc>
          <w:tcPr>
            <w:tcW w:type="dxa" w:w="3326"/>
          </w:tcPr>
          <w:p>
            <w:pPr>
              <w:bidi w:val="1"/>
              <w:spacing w:before="0" w:after="0" w:line="264" w:lineRule="auto"/>
            </w:pPr>
            <w:r>
              <w:rPr>
                <w:rFonts w:ascii="Arial" w:hAnsi="Arial" w:cs="Arial" w:eastAsia="Arial"/>
                <w:color w:val="0E1E3A"/>
                <w:sz w:val="17"/>
                <w:szCs w:val="17"/>
              </w:rPr>
              <w:t>‎-1.65%‎</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1 يوليو 2021م إلى 31 ديسمبر 2021م.</w:t>
      </w:r>
      <w:r>
        <w:br/>
      </w:r>
      <w:r>
        <w:rPr>
          <w:rFonts w:ascii="Arial" w:hAnsi="Arial" w:cs="Arial" w:eastAsia="Arial"/>
          <w:color w:val="5A6478"/>
          <w:sz w:val="17"/>
          <w:szCs w:val="17"/>
          <w:rtl/>
        </w:rPr>
        <w:t>2. عن الفترة من 19 يناير 2021م إلى 31 ديسمبر 2021م.</w:t>
      </w:r>
      <w:r>
        <w:br/>
      </w:r>
      <w:r>
        <w:rPr>
          <w:rFonts w:ascii="Arial" w:hAnsi="Arial" w:cs="Arial" w:eastAsia="Arial"/>
          <w:color w:val="5A6478"/>
          <w:sz w:val="17"/>
          <w:szCs w:val="17"/>
          <w:rtl/>
        </w:rPr>
        <w:t>3.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4.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أداءه حسب المخاطر أفضل.</w:t>
      </w:r>
      <w:r>
        <w:br/>
      </w:r>
      <w:r>
        <w:rPr>
          <w:rFonts w:ascii="Arial" w:hAnsi="Arial" w:cs="Arial" w:eastAsia="Arial"/>
          <w:color w:val="5A6478"/>
          <w:sz w:val="17"/>
          <w:szCs w:val="17"/>
          <w:rtl/>
        </w:rPr>
        <w:t>5.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6.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7. الفا يقيس أي تفوق حققه أداء الصندوق مقارنة بأداء المؤشر المرتبط به.</w:t>
      </w:r>
      <w:r>
        <w:br/>
      </w:r>
      <w:r>
        <w:rPr>
          <w:rFonts w:ascii="Arial" w:hAnsi="Arial" w:cs="Arial" w:eastAsia="Arial"/>
          <w:color w:val="5A6478"/>
          <w:sz w:val="17"/>
          <w:szCs w:val="17"/>
          <w:rtl/>
        </w:rPr>
        <w:t>8. مؤشر المعلومات هو عبارة عن مقياس أداء معدل حسب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 تم احتساب معايير الأداء والمخاطر بناءً على اسعار تداول الوحدة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0"/>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جوهرية أو مهمة تؤثر على عمل الصندوق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‎36.6%‎</w:t>
      </w:r>
      <w:r>
        <w:rPr>
          <w:rFonts w:ascii="Arial" w:hAnsi="Arial" w:cs="Arial" w:eastAsia="Arial"/>
          <w:color w:val="0E1E3A"/>
          <w:sz w:val="20"/>
          <w:szCs w:val="20"/>
          <w:rtl/>
        </w:rPr>
        <w:t xml:space="preserve"> من أصول الصندوق في صفقات إجارة تشمل عدة أنواع من المعدات والشركات، غالبيتها في الولايات المتحدة الأمريكية. ومن المتوقع أن تحقق محفظة الإجارة معدل عائد إجمالي يقدر بنسبة </w:t>
      </w:r>
      <w:r>
        <w:rPr>
          <w:rFonts w:ascii="Arial" w:hAnsi="Arial" w:cs="Arial" w:eastAsia="Arial"/>
          <w:color w:val="0E1E3A"/>
          <w:sz w:val="20"/>
          <w:szCs w:val="20"/>
        </w:rPr>
        <w:t>‎6.5%‎</w:t>
      </w:r>
      <w:r>
        <w:rPr>
          <w:rFonts w:ascii="Arial" w:hAnsi="Arial" w:cs="Arial" w:eastAsia="Arial"/>
          <w:color w:val="0E1E3A"/>
          <w:sz w:val="20"/>
          <w:szCs w:val="20"/>
          <w:rtl/>
        </w:rPr>
        <w:t xml:space="preserve"> سنويًا على مدى السنوات الخمس القادمة بإذن الله.</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‎23.0%‎</w:t>
      </w:r>
      <w:r>
        <w:rPr>
          <w:rFonts w:ascii="Arial" w:hAnsi="Arial" w:cs="Arial" w:eastAsia="Arial"/>
          <w:color w:val="0E1E3A"/>
          <w:sz w:val="20"/>
          <w:szCs w:val="20"/>
          <w:rtl/>
        </w:rPr>
        <w:t xml:space="preserve"> من أصول الصندوق في صفقات تمويل تجاري مع عدة أطراف مقابلة وفي عدة قطاعات، وكانت غالبيتها في القارة الأوروبية. وجميع الصفقات المبرمة قصيرة الأجل بطبيعتها، وتحقق عوائدًا - بإذن الله -تتراوح ما بين </w:t>
      </w:r>
      <w:r>
        <w:rPr>
          <w:rFonts w:ascii="Arial" w:hAnsi="Arial" w:cs="Arial" w:eastAsia="Arial"/>
          <w:color w:val="0E1E3A"/>
          <w:sz w:val="20"/>
          <w:szCs w:val="20"/>
        </w:rPr>
        <w:t>‎6.0%‎</w:t>
      </w:r>
      <w:r>
        <w:rPr>
          <w:rFonts w:ascii="Arial" w:hAnsi="Arial" w:cs="Arial" w:eastAsia="Arial"/>
          <w:color w:val="0E1E3A"/>
          <w:sz w:val="20"/>
          <w:szCs w:val="20"/>
          <w:rtl/>
        </w:rPr>
        <w:t xml:space="preserve"> إلى </w:t>
      </w:r>
      <w:r>
        <w:rPr>
          <w:rFonts w:ascii="Arial" w:hAnsi="Arial" w:cs="Arial" w:eastAsia="Arial"/>
          <w:color w:val="0E1E3A"/>
          <w:sz w:val="20"/>
          <w:szCs w:val="20"/>
        </w:rPr>
        <w:t>‎7.0%‎</w:t>
      </w:r>
      <w:r>
        <w:rPr>
          <w:rFonts w:ascii="Arial" w:hAnsi="Arial" w:cs="Arial" w:eastAsia="Arial"/>
          <w:color w:val="0E1E3A"/>
          <w:sz w:val="20"/>
          <w:szCs w:val="20"/>
          <w:rtl/>
        </w:rPr>
        <w:t xml:space="preserve"> سنويًا.</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‎12.7%‎</w:t>
      </w:r>
      <w:r>
        <w:rPr>
          <w:rFonts w:ascii="Arial" w:hAnsi="Arial" w:cs="Arial" w:eastAsia="Arial"/>
          <w:color w:val="0E1E3A"/>
          <w:sz w:val="20"/>
          <w:szCs w:val="20"/>
          <w:rtl/>
        </w:rPr>
        <w:t xml:space="preserve"> من أصول الصندوق في صكوك ذات درجات تصنيف ائتمانية مختلفة، تشمل صكوكًا سيادية وشبه سيادية وصكوك شركات. وقد حصل مدير الصندوق على تسهيلات ائتمانية تدعم زيادة عوائد المحفظة إلى أكثر من </w:t>
      </w:r>
      <w:r>
        <w:rPr>
          <w:rFonts w:ascii="Arial" w:hAnsi="Arial" w:cs="Arial" w:eastAsia="Arial"/>
          <w:color w:val="0E1E3A"/>
          <w:sz w:val="20"/>
          <w:szCs w:val="20"/>
        </w:rPr>
        <w:t>‎5%‎</w:t>
      </w:r>
      <w:r>
        <w:rPr>
          <w:rFonts w:ascii="Arial" w:hAnsi="Arial" w:cs="Arial" w:eastAsia="Arial"/>
          <w:color w:val="0E1E3A"/>
          <w:sz w:val="20"/>
          <w:szCs w:val="20"/>
          <w:rtl/>
        </w:rPr>
        <w:t xml:space="preserve"> سنويًا، مع المحافظة على وسط مرجّح لتصنيف المحفظة بدرجة استثمارية.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لأغراض تنويع استثمارات الصندوق، استثمر مدير الصندوق </w:t>
      </w:r>
      <w:r>
        <w:rPr>
          <w:rFonts w:ascii="Arial" w:hAnsi="Arial" w:cs="Arial" w:eastAsia="Arial"/>
          <w:color w:val="0E1E3A"/>
          <w:sz w:val="20"/>
          <w:szCs w:val="20"/>
        </w:rPr>
        <w:t>‎15.7%‎</w:t>
      </w:r>
      <w:r>
        <w:rPr>
          <w:rFonts w:ascii="Arial" w:hAnsi="Arial" w:cs="Arial" w:eastAsia="Arial"/>
          <w:color w:val="0E1E3A"/>
          <w:sz w:val="20"/>
          <w:szCs w:val="20"/>
          <w:rtl/>
        </w:rPr>
        <w:t xml:space="preserve"> من أصول الصندوق في صناديق دخل، تتراوح ما بين تمويل خاص وإجارة وتمويل تجاري وتسنيد. ويتوقع أن تحقق عائدًا سنويًا يتراوح في المتوسط بين </w:t>
      </w:r>
      <w:r>
        <w:rPr>
          <w:rFonts w:ascii="Arial" w:hAnsi="Arial" w:cs="Arial" w:eastAsia="Arial"/>
          <w:color w:val="0E1E3A"/>
          <w:sz w:val="20"/>
          <w:szCs w:val="20"/>
        </w:rPr>
        <w:t>‎6%‎</w:t>
      </w:r>
      <w:r>
        <w:rPr>
          <w:rFonts w:ascii="Arial" w:hAnsi="Arial" w:cs="Arial" w:eastAsia="Arial"/>
          <w:color w:val="0E1E3A"/>
          <w:sz w:val="20"/>
          <w:szCs w:val="20"/>
          <w:rtl/>
        </w:rPr>
        <w:t xml:space="preserve"> إلى </w:t>
      </w:r>
      <w:r>
        <w:rPr>
          <w:rFonts w:ascii="Arial" w:hAnsi="Arial" w:cs="Arial" w:eastAsia="Arial"/>
          <w:color w:val="0E1E3A"/>
          <w:sz w:val="20"/>
          <w:szCs w:val="20"/>
        </w:rPr>
        <w:t>‎7%‎</w:t>
      </w:r>
      <w:r>
        <w:rPr>
          <w:rFonts w:ascii="Arial" w:hAnsi="Arial" w:cs="Arial" w:eastAsia="Arial"/>
          <w:color w:val="0E1E3A"/>
          <w:sz w:val="20"/>
          <w:szCs w:val="20"/>
          <w:rtl/>
        </w:rPr>
        <w:t>.</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تمكن مدير الصندوق من الحصول على تمويل متوافق مع ضوابط الهيئة الشرعية بمبلغ يعادل 75,796,490 ر.س. خلال شهر ديسمبر 2021م وتم تويف مبلغ التمويل في صفقات الإجارة و صناديق الدخل. ويهدف مدير الصندوق لاستخدام التمويل لتحسين عوائد الصندوق على المدى القصير إلى المتوسط.</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ينوي مدير الصندوق توزيع الأرباح المتحققة ضمن الإطار الزمني المستهدف المنصوص عليه في الشروط والأحكام.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80" w:line="312" w:lineRule="auto"/>
      </w:pPr>
      <w:r>
        <w:rPr>
          <w:rFonts w:ascii="Arial" w:hAnsi="Arial" w:cs="Arial" w:eastAsia="Arial"/>
          <w:color w:val="0E1E3A"/>
          <w:sz w:val="20"/>
          <w:szCs w:val="20"/>
          <w:rtl/>
        </w:rPr>
        <w:t>بينما واجهت الاقتصادات العالمية صعوبات تشغيلية كبيرة في العام 2020م نتيجة للتدابير المشدّدة الهادفة إلى احتواء انتشار وباء كورونا المستجد (كوفيد-19) وتوقف الأنشطة التجارية، غير أن عودة الأنشطة الاقتصادية تدريجيًا إلى وضعها الطبيعي في العام 2021م بفعل توفر اللقاحات وارتفاع معدلات التلقيح قد أسهمت في تعافي أعمال إجارة المعدات.</w:t>
      </w:r>
    </w:p>
    <w:p>
      <w:pPr>
        <w:bidi w:val="1"/>
        <w:spacing w:before="0" w:after="80" w:line="312" w:lineRule="auto"/>
      </w:pPr>
      <w:r>
        <w:rPr>
          <w:rFonts w:ascii="Arial" w:hAnsi="Arial" w:cs="Arial" w:eastAsia="Arial"/>
          <w:color w:val="0E1E3A"/>
          <w:sz w:val="20"/>
          <w:szCs w:val="20"/>
          <w:rtl/>
        </w:rPr>
        <w:t>تعافى مؤشر الثقة الشهري لقطاع تمويل المعدات، مرتفعًا إلى 64.6 نقطة في شهر نوفمبر من 61.1 نقطة في شهر أكتوبر، ما يشير إلى أن التوقعات المستقبلية لهذا القطاع إيجابية.</w:t>
      </w:r>
    </w:p>
    <w:p>
      <w:pPr>
        <w:bidi w:val="1"/>
        <w:spacing w:before="0" w:after="80" w:line="312" w:lineRule="auto"/>
      </w:pPr>
      <w:r>
        <w:rPr>
          <w:rFonts w:ascii="Arial" w:hAnsi="Arial" w:cs="Arial" w:eastAsia="Arial"/>
          <w:color w:val="0E1E3A"/>
          <w:sz w:val="20"/>
          <w:szCs w:val="20"/>
          <w:rtl/>
        </w:rPr>
        <w:t xml:space="preserve">أظهر مؤشر الإجارة والتمويل الشهري MLFI-25 الذي تصدره جمعية إجارة وتمويل المعدات ويبين النشاط الاقتصادي لأبرز 25 شركة تمثل شريحة متنوعة من قطاع تمويل المعدات، نمو حجم الأعمال الجديد من بداية السنة (حتى شهر أكتوبر) بنسبة </w:t>
      </w:r>
      <w:r>
        <w:rPr>
          <w:rFonts w:ascii="Arial" w:hAnsi="Arial" w:cs="Arial" w:eastAsia="Arial"/>
          <w:color w:val="0E1E3A"/>
          <w:sz w:val="20"/>
          <w:szCs w:val="20"/>
        </w:rPr>
        <w:t>‎10.5%‎</w:t>
      </w:r>
      <w:r>
        <w:rPr>
          <w:rFonts w:ascii="Arial" w:hAnsi="Arial" w:cs="Arial" w:eastAsia="Arial"/>
          <w:color w:val="0E1E3A"/>
          <w:sz w:val="20"/>
          <w:szCs w:val="20"/>
          <w:rtl/>
        </w:rPr>
        <w:t xml:space="preserve"> مقارنةً بالمستويات التي كان عليها في العام 2020م.</w:t>
      </w:r>
    </w:p>
    <w:p>
      <w:pPr>
        <w:bidi w:val="1"/>
        <w:spacing w:before="0" w:after="80" w:line="312" w:lineRule="auto"/>
      </w:pPr>
      <w:r>
        <w:rPr>
          <w:rFonts w:ascii="Arial" w:hAnsi="Arial" w:cs="Arial" w:eastAsia="Arial"/>
          <w:color w:val="0E1E3A"/>
          <w:sz w:val="20"/>
          <w:szCs w:val="20"/>
          <w:rtl/>
        </w:rPr>
        <w:t xml:space="preserve">وفقًا لما ورد في تقرير أصدرته مؤخرًا جمعية إجارة وتمويل المعدات في الولايات المتحدة الأمريكية، أظهر الاستثمار في معظم الأنشطة المشتقة عن شريحة الاستثمار في المعدات بوادر ارتفاع إلى مستوى الذروة أو تباطؤ على مدى الأشهر الستة القادمة. غير أن الجمعية تتوقع نمو حجم الاستثمار في المعدات في الولايات المتحدة بنسبة </w:t>
      </w:r>
      <w:r>
        <w:rPr>
          <w:rFonts w:ascii="Arial" w:hAnsi="Arial" w:cs="Arial" w:eastAsia="Arial"/>
          <w:color w:val="0E1E3A"/>
          <w:sz w:val="20"/>
          <w:szCs w:val="20"/>
        </w:rPr>
        <w:t>‎4.6%‎</w:t>
      </w:r>
      <w:r>
        <w:rPr>
          <w:rFonts w:ascii="Arial" w:hAnsi="Arial" w:cs="Arial" w:eastAsia="Arial"/>
          <w:color w:val="0E1E3A"/>
          <w:sz w:val="20"/>
          <w:szCs w:val="20"/>
          <w:rtl/>
        </w:rPr>
        <w:t xml:space="preserve"> في العام 2022م مقارنة بالسنة السابقة، وذلك مع تسارع وتيرة الاستثمار خلال النصف الثاني من السنة.</w:t>
      </w:r>
    </w:p>
    <w:p>
      <w:pPr>
        <w:bidi w:val="1"/>
        <w:spacing w:before="0" w:after="80" w:line="312" w:lineRule="auto"/>
      </w:pPr>
      <w:r>
        <w:rPr>
          <w:rFonts w:ascii="Arial" w:hAnsi="Arial" w:cs="Arial" w:eastAsia="Arial"/>
          <w:color w:val="0E1E3A"/>
          <w:sz w:val="20"/>
          <w:szCs w:val="20"/>
          <w:rtl/>
        </w:rPr>
        <w:t xml:space="preserve">وفقًا لتقديرات "شركة ذا بزنس ريسيرتش"، من المتوقع أن ينمو حجم السوق العالمية لإجارة الآلات والمعدات من 316.2 مليار دولار أمريكي في العام 2020م إلى 454.78 مليار دولار أمريكي في العام 2025م، وذلك بمعدل سنوي مركب قوي يقدر بنسبة </w:t>
      </w:r>
      <w:r>
        <w:rPr>
          <w:rFonts w:ascii="Arial" w:hAnsi="Arial" w:cs="Arial" w:eastAsia="Arial"/>
          <w:color w:val="0E1E3A"/>
          <w:sz w:val="20"/>
          <w:szCs w:val="20"/>
        </w:rPr>
        <w:t>‎7%‎</w:t>
      </w:r>
      <w:r>
        <w:rPr>
          <w:rFonts w:ascii="Arial" w:hAnsi="Arial" w:cs="Arial" w:eastAsia="Arial"/>
          <w:color w:val="0E1E3A"/>
          <w:sz w:val="20"/>
          <w:szCs w:val="20"/>
          <w:rtl/>
        </w:rPr>
        <w:t>. وترى شركة ذا بزنس ريسيرتش أن شريحة تأجير آلات ومعدات البناء الثقيلة تمثل الفرص الأكثر جاذبية.</w:t>
      </w:r>
    </w:p>
    <w:p>
      <w:pPr>
        <w:pStyle w:val="Heading3"/>
        <w:keepNext/>
        <w:bidi w:val="1"/>
        <w:spacing w:before="160" w:after="100" w:line="300" w:lineRule="auto"/>
      </w:pPr>
      <w:r>
        <w:rPr>
          <w:rFonts w:ascii="Arial" w:hAnsi="Arial" w:cs="Arial" w:eastAsia="Arial"/>
          <w:b/>
          <w:bCs/>
          <w:color w:val="12284B"/>
          <w:sz w:val="22"/>
          <w:szCs w:val="22"/>
          <w:rtl/>
        </w:rPr>
        <w:t>نظرة على التمويل التجاري</w:t>
      </w:r>
    </w:p>
    <w:p>
      <w:pPr>
        <w:bidi w:val="1"/>
        <w:spacing w:before="0" w:after="80" w:line="312" w:lineRule="auto"/>
      </w:pPr>
      <w:r>
        <w:rPr>
          <w:rFonts w:ascii="Arial" w:hAnsi="Arial" w:cs="Arial" w:eastAsia="Arial"/>
          <w:color w:val="0E1E3A"/>
          <w:sz w:val="20"/>
          <w:szCs w:val="20"/>
          <w:rtl/>
        </w:rPr>
        <w:t xml:space="preserve">بينما تعافت أحجام التجارة الدولية في العام 2021م بعد أن كانت قد شهدت انخفاضًا حادًا في المراحل الأولى من انتشار وباء كوفيد-19 في العام 2020م، لا تزال هناك عدة اختناقات في سلسلة الإمداد والتموين تهدد وتيرة هذا التعافي. ومن المتوقع أن يصل حجم التجارة العالمية إلى حوالي 28 ترليون دولار أمريكي في العام 2021م، بزيادة بنسبة </w:t>
      </w:r>
      <w:r>
        <w:rPr>
          <w:rFonts w:ascii="Arial" w:hAnsi="Arial" w:cs="Arial" w:eastAsia="Arial"/>
          <w:color w:val="0E1E3A"/>
          <w:sz w:val="20"/>
          <w:szCs w:val="20"/>
        </w:rPr>
        <w:t>‎23%‎</w:t>
      </w:r>
      <w:r>
        <w:rPr>
          <w:rFonts w:ascii="Arial" w:hAnsi="Arial" w:cs="Arial" w:eastAsia="Arial"/>
          <w:color w:val="0E1E3A"/>
          <w:sz w:val="20"/>
          <w:szCs w:val="20"/>
          <w:rtl/>
        </w:rPr>
        <w:t xml:space="preserve"> مقارنةً بالعام 2020م.</w:t>
      </w:r>
    </w:p>
    <w:p>
      <w:pPr>
        <w:bidi w:val="1"/>
        <w:spacing w:before="0" w:after="80" w:line="312" w:lineRule="auto"/>
      </w:pPr>
      <w:r>
        <w:rPr>
          <w:rFonts w:ascii="Arial" w:hAnsi="Arial" w:cs="Arial" w:eastAsia="Arial"/>
          <w:color w:val="0E1E3A"/>
          <w:sz w:val="20"/>
          <w:szCs w:val="20"/>
          <w:rtl/>
        </w:rPr>
        <w:t>أظهرت تقديرات شركة بوسطن كنسلتنغ غروب أن مجموع الإيرادات العالمية من قطاع التمويل التجاري يمكن أن يصل إلى 68 مليار دولار أمريكي في العام 2030م، ليتبقى بذلك ما مجموعه 23 مليار دولار أمريكي إضافية من الإيرادات يمكّن للشركات العاملة في مجال التمويل التجاري تقديمها، مقارنةً بـ 45 مليار دولار أمريكي في العام 2020م.</w:t>
      </w:r>
    </w:p>
    <w:p>
      <w:pPr>
        <w:bidi w:val="1"/>
        <w:spacing w:before="0" w:after="80" w:line="312" w:lineRule="auto"/>
      </w:pPr>
      <w:r>
        <w:rPr>
          <w:rFonts w:ascii="Arial" w:hAnsi="Arial" w:cs="Arial" w:eastAsia="Arial"/>
          <w:color w:val="0E1E3A"/>
          <w:sz w:val="20"/>
          <w:szCs w:val="20"/>
          <w:rtl/>
        </w:rPr>
        <w:t xml:space="preserve">شكّل نمو المنصات الرقمية اتجاهًا ملحوظًا في قطاع التمويل التجاري. ووفقًا لما ورد في تقرير التمويل التجاري للعام 2021م الصادر عن البنك الآسيوي للتنمية، أدت حالات الإغلاق التام بسبب انتشار وباء كوفيد-19 إلى تسريع الحاجة إلى العمليات الرقمية في قطاع التمويل التجاري. وقد أسهم هذا أيضًا في دفع مختلف شركات التكنولوجيا المالية (فينتك) إلى تقديم منصات رقمية للتمويل التجاري. وتشير ستاندرد آند بورز جلوبال إلى أنه البنوك سوف تضطر إلى تسريع جهود التحويل الرقمي والابتكار في منتجاتها لمواجهة المنافسة المتزايدة من مقدمي الخدمات الرقمية غير التقليديين. كذلك تشير تقديرات بوسطن كنسلتنغ غروب إلى أن حوالي </w:t>
      </w:r>
      <w:r>
        <w:rPr>
          <w:rFonts w:ascii="Arial" w:hAnsi="Arial" w:cs="Arial" w:eastAsia="Arial"/>
          <w:color w:val="0E1E3A"/>
          <w:sz w:val="20"/>
          <w:szCs w:val="20"/>
        </w:rPr>
        <w:t>‎10%‎</w:t>
      </w:r>
      <w:r>
        <w:rPr>
          <w:rFonts w:ascii="Arial" w:hAnsi="Arial" w:cs="Arial" w:eastAsia="Arial"/>
          <w:color w:val="0E1E3A"/>
          <w:sz w:val="20"/>
          <w:szCs w:val="20"/>
          <w:rtl/>
        </w:rPr>
        <w:t xml:space="preserve"> إلى </w:t>
      </w:r>
      <w:r>
        <w:rPr>
          <w:rFonts w:ascii="Arial" w:hAnsi="Arial" w:cs="Arial" w:eastAsia="Arial"/>
          <w:color w:val="0E1E3A"/>
          <w:sz w:val="20"/>
          <w:szCs w:val="20"/>
        </w:rPr>
        <w:t>‎25%‎</w:t>
      </w:r>
      <w:r>
        <w:rPr>
          <w:rFonts w:ascii="Arial" w:hAnsi="Arial" w:cs="Arial" w:eastAsia="Arial"/>
          <w:color w:val="0E1E3A"/>
          <w:sz w:val="20"/>
          <w:szCs w:val="20"/>
          <w:rtl/>
        </w:rPr>
        <w:t xml:space="preserve"> من إجمالي حجم التمويل التجاري و</w:t>
      </w:r>
      <w:r>
        <w:rPr>
          <w:rFonts w:ascii="Arial" w:hAnsi="Arial" w:cs="Arial" w:eastAsia="Arial"/>
          <w:color w:val="0E1E3A"/>
          <w:sz w:val="20"/>
          <w:szCs w:val="20"/>
        </w:rPr>
        <w:t>‎20%‎</w:t>
      </w:r>
      <w:r>
        <w:rPr>
          <w:rFonts w:ascii="Arial" w:hAnsi="Arial" w:cs="Arial" w:eastAsia="Arial"/>
          <w:color w:val="0E1E3A"/>
          <w:sz w:val="20"/>
          <w:szCs w:val="20"/>
          <w:rtl/>
        </w:rPr>
        <w:t xml:space="preserve"> إلى </w:t>
      </w:r>
      <w:r>
        <w:rPr>
          <w:rFonts w:ascii="Arial" w:hAnsi="Arial" w:cs="Arial" w:eastAsia="Arial"/>
          <w:color w:val="0E1E3A"/>
          <w:sz w:val="20"/>
          <w:szCs w:val="20"/>
        </w:rPr>
        <w:t>‎25%‎</w:t>
      </w:r>
      <w:r>
        <w:rPr>
          <w:rFonts w:ascii="Arial" w:hAnsi="Arial" w:cs="Arial" w:eastAsia="Arial"/>
          <w:color w:val="0E1E3A"/>
          <w:sz w:val="20"/>
          <w:szCs w:val="20"/>
          <w:rtl/>
        </w:rPr>
        <w:t xml:space="preserve"> من التمويل التجاري للمنشآت الصغيرة والمتوسطة الحجم على مدى الفترة حتى العام 2025م سوف يتم عبر منصات رقمية.</w:t>
      </w:r>
    </w:p>
    <w:p>
      <w:pPr>
        <w:bidi w:val="1"/>
        <w:spacing w:before="0" w:after="80" w:line="312" w:lineRule="auto"/>
      </w:pPr>
      <w:r>
        <w:rPr>
          <w:rFonts w:ascii="Arial" w:hAnsi="Arial" w:cs="Arial" w:eastAsia="Arial"/>
          <w:color w:val="0E1E3A"/>
          <w:sz w:val="20"/>
          <w:szCs w:val="20"/>
          <w:rtl/>
        </w:rPr>
        <w:t>الجدير بالذكر أن شركات مثل أمازون وعلي بابا وبايبال هولدنغز قد سبق وأن أنشأت أذرعًا لها متخصصة في الإقراض لتقديم رأس المال العامل للموردين التابعين لهم، وذلك باستخدام بيانات المبيعات لتقييم الأداء وإدارة المخاطر.</w:t>
      </w:r>
    </w:p>
    <w:p>
      <w:pPr>
        <w:bidi w:val="1"/>
        <w:spacing w:before="0" w:after="80" w:line="312" w:lineRule="auto"/>
      </w:pPr>
      <w:r>
        <w:rPr>
          <w:rFonts w:ascii="Arial" w:hAnsi="Arial" w:cs="Arial" w:eastAsia="Arial"/>
          <w:color w:val="0E1E3A"/>
          <w:sz w:val="20"/>
          <w:szCs w:val="20"/>
          <w:rtl/>
        </w:rPr>
        <w:t>أظهر تقرير أصدرته مؤخرًا منظمة التجارة العالمية أن مشاكل سلسلة الإمداد والتموين في القطاعات الحيوية والهامة والاختناقات في قطاع الشحن تؤدي إلى تفاقم الصعوبات التي تواجهها التجارة العالمية. ومن جهة أخرى، أشارت الأمم المتحدة إلى أن التوقعات للعام 2022م "لا تزال ضبابية جدًا". وقد تفاقمت هذه النظرة التشاؤمية نتيجة استمرار العديد من الاقتصادات العالمية، بما في ذلك اقتصادات دول أوروبا، في مواجهة التوقف في أنشطتها الاقتصادية بسبب وباء كوفيد-19، ما يؤثر على حجم الطلب الاستهلاكي في العام 2022م.</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80" w:line="312" w:lineRule="auto"/>
      </w:pPr>
      <w:r>
        <w:rPr>
          <w:rFonts w:ascii="Arial" w:hAnsi="Arial" w:cs="Arial" w:eastAsia="Arial"/>
          <w:color w:val="0E1E3A"/>
          <w:sz w:val="20"/>
          <w:szCs w:val="20"/>
          <w:rtl/>
        </w:rPr>
        <w:t>وفقًا لما أورته ريفينيتف Refinitiv، بلغ حجم إصدارات الصكوك العالمية 147 مليار دولار أمريكي في الأشهر التسعة الأولى من العام 2021م، ومن المتوقع أن يستمر في الارتفاع ليصل إلى 180 مليار دولار أمريكي بحلول نهاية العام 2021م.</w:t>
      </w:r>
    </w:p>
    <w:p>
      <w:pPr>
        <w:bidi w:val="1"/>
        <w:spacing w:before="0" w:after="80" w:line="312" w:lineRule="auto"/>
      </w:pPr>
      <w:r>
        <w:rPr>
          <w:rFonts w:ascii="Arial" w:hAnsi="Arial" w:cs="Arial" w:eastAsia="Arial"/>
          <w:color w:val="0E1E3A"/>
          <w:sz w:val="20"/>
          <w:szCs w:val="20"/>
          <w:rtl/>
        </w:rPr>
        <w:t xml:space="preserve">أصدرت خمس دول أكثر من </w:t>
      </w:r>
      <w:r>
        <w:rPr>
          <w:rFonts w:ascii="Arial" w:hAnsi="Arial" w:cs="Arial" w:eastAsia="Arial"/>
          <w:color w:val="0E1E3A"/>
          <w:sz w:val="20"/>
          <w:szCs w:val="20"/>
        </w:rPr>
        <w:t>‎90%‎</w:t>
      </w:r>
      <w:r>
        <w:rPr>
          <w:rFonts w:ascii="Arial" w:hAnsi="Arial" w:cs="Arial" w:eastAsia="Arial"/>
          <w:color w:val="0E1E3A"/>
          <w:sz w:val="20"/>
          <w:szCs w:val="20"/>
          <w:rtl/>
        </w:rPr>
        <w:t xml:space="preserve"> من الصكوك في الأشهر التسعة الأولى من العام 2021م، هي ماليزيا (58 مليار دولار أمريكي)، والمملكة العربية السعودية (32 مليار دولار أمريكي)، وإندونيسيا (22 مليار دولار أمريكي)، وتركيا (11 مليار دولار أمريكي)، والكويت (9 مليار دولار أمريكي).</w:t>
      </w:r>
    </w:p>
    <w:p>
      <w:pPr>
        <w:bidi w:val="1"/>
        <w:spacing w:before="0" w:after="80" w:line="312" w:lineRule="auto"/>
      </w:pPr>
      <w:r>
        <w:rPr>
          <w:rFonts w:ascii="Arial" w:hAnsi="Arial" w:cs="Arial" w:eastAsia="Arial"/>
          <w:color w:val="0E1E3A"/>
          <w:sz w:val="20"/>
          <w:szCs w:val="20"/>
          <w:rtl/>
        </w:rPr>
        <w:t xml:space="preserve">أما من حيث فئة الجهة المصدرة، بلغ حجم إصدارات المصدرين السياديين </w:t>
      </w:r>
      <w:r>
        <w:rPr>
          <w:rFonts w:ascii="Arial" w:hAnsi="Arial" w:cs="Arial" w:eastAsia="Arial"/>
          <w:color w:val="0E1E3A"/>
          <w:sz w:val="20"/>
          <w:szCs w:val="20"/>
        </w:rPr>
        <w:t>‎58%‎</w:t>
      </w:r>
      <w:r>
        <w:rPr>
          <w:rFonts w:ascii="Arial" w:hAnsi="Arial" w:cs="Arial" w:eastAsia="Arial"/>
          <w:color w:val="0E1E3A"/>
          <w:sz w:val="20"/>
          <w:szCs w:val="20"/>
          <w:rtl/>
        </w:rPr>
        <w:t xml:space="preserve"> من إجمالي حجم إصدارات الصكوك (للأشهر التسعة الأولى من العام 2021م)، أي ما مجموعه 85 مليار دولار أمريكي، بينما بلغ إجمالي حجم إصدارات الشركات من الصكوك 34.7 مليار دولار أمريكي، أي بزيادة بنسبة </w:t>
      </w:r>
      <w:r>
        <w:rPr>
          <w:rFonts w:ascii="Arial" w:hAnsi="Arial" w:cs="Arial" w:eastAsia="Arial"/>
          <w:color w:val="0E1E3A"/>
          <w:sz w:val="20"/>
          <w:szCs w:val="20"/>
        </w:rPr>
        <w:t>‎9%‎</w:t>
      </w:r>
      <w:r>
        <w:rPr>
          <w:rFonts w:ascii="Arial" w:hAnsi="Arial" w:cs="Arial" w:eastAsia="Arial"/>
          <w:color w:val="0E1E3A"/>
          <w:sz w:val="20"/>
          <w:szCs w:val="20"/>
          <w:rtl/>
        </w:rPr>
        <w:t xml:space="preserve"> مقارنةً بالأشهر التسعة الأولى من العام 2020م.</w:t>
      </w:r>
    </w:p>
    <w:p>
      <w:pPr>
        <w:bidi w:val="1"/>
        <w:spacing w:before="0" w:after="80" w:line="312" w:lineRule="auto"/>
      </w:pPr>
      <w:r>
        <w:rPr>
          <w:rFonts w:ascii="Arial" w:hAnsi="Arial" w:cs="Arial" w:eastAsia="Arial"/>
          <w:color w:val="0E1E3A"/>
          <w:sz w:val="20"/>
          <w:szCs w:val="20"/>
          <w:rtl/>
        </w:rPr>
        <w:t>تراجع حجم إصدارات الصكوك في بعض دول مجلس التعاون الخليجي بسبب ارتفاع أسعار النفط.</w:t>
      </w:r>
    </w:p>
    <w:p>
      <w:pPr>
        <w:bidi w:val="1"/>
        <w:spacing w:before="0" w:after="80" w:line="312" w:lineRule="auto"/>
      </w:pPr>
      <w:r>
        <w:rPr>
          <w:rFonts w:ascii="Arial" w:hAnsi="Arial" w:cs="Arial" w:eastAsia="Arial"/>
          <w:color w:val="0E1E3A"/>
          <w:sz w:val="20"/>
          <w:szCs w:val="20"/>
          <w:rtl/>
        </w:rPr>
        <w:t>انخفض حجم إصدارات الصكوك من دول مجلس التعاون الخليجي وماليزيا وإندونيسيا في الربع الثالث 2021م، لأسباب أهمها الصعوبات الناتجة عن توفير وثائق مطابقة إضافية لإثبات الالتزام بأحكام الشريعة الإسلامية ومبادئها حسبما تشترطه هيئة المحاسبة والمراجعة للمؤسسات المالية الإسلامية (أيوفي).</w:t>
      </w:r>
    </w:p>
    <w:p>
      <w:pPr>
        <w:bidi w:val="1"/>
        <w:spacing w:before="0" w:after="80" w:line="312" w:lineRule="auto"/>
      </w:pPr>
      <w:r>
        <w:rPr>
          <w:rFonts w:ascii="Arial" w:hAnsi="Arial" w:cs="Arial" w:eastAsia="Arial"/>
          <w:color w:val="0E1E3A"/>
          <w:sz w:val="20"/>
          <w:szCs w:val="20"/>
          <w:rtl/>
        </w:rPr>
        <w:t>أصبحت المملكة العربية السعودية دولة رائدة في سوق الصكوك. وقد ارتفع إجمالي حجم إصدارات المملكة السنوية بأكثر من سبعة أضعاف منذ العام 2016م، ليصل إلى 36.3 مليار دولار أمريكي في العام 2020م وإلى 32 مليار دولار أمريكي حتى نهاية الأشهر التسعة الأولى من العام 2021م.</w:t>
      </w:r>
    </w:p>
    <w:p>
      <w:pPr>
        <w:bidi w:val="1"/>
        <w:spacing w:before="0" w:after="80" w:line="312" w:lineRule="auto"/>
      </w:pPr>
      <w:r>
        <w:rPr>
          <w:rFonts w:ascii="Arial" w:hAnsi="Arial" w:cs="Arial" w:eastAsia="Arial"/>
          <w:color w:val="0E1E3A"/>
          <w:sz w:val="20"/>
          <w:szCs w:val="20"/>
          <w:rtl/>
        </w:rPr>
        <w:t xml:space="preserve">تتوقع ريفينيتيف نمو حجم إصدارات الصكوك العالمية بمعدل سنوي مركب بنسبة </w:t>
      </w:r>
      <w:r>
        <w:rPr>
          <w:rFonts w:ascii="Arial" w:hAnsi="Arial" w:cs="Arial" w:eastAsia="Arial"/>
          <w:color w:val="0E1E3A"/>
          <w:sz w:val="20"/>
          <w:szCs w:val="20"/>
        </w:rPr>
        <w:t>‎10%‎</w:t>
      </w:r>
      <w:r>
        <w:rPr>
          <w:rFonts w:ascii="Arial" w:hAnsi="Arial" w:cs="Arial" w:eastAsia="Arial"/>
          <w:color w:val="0E1E3A"/>
          <w:sz w:val="20"/>
          <w:szCs w:val="20"/>
          <w:rtl/>
        </w:rPr>
        <w:t xml:space="preserve"> على مدى السنوات الخمس القادمة، من 178 مليار دولار أمريكي في العام 2021م إلى 290 مليار دولار أمريكي في العام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w:t>
      </w:r>
    </w:p>
    <w:p>
      <w:pPr>
        <w:bidi w:val="1"/>
        <w:spacing w:before="0" w:after="80" w:line="240" w:lineRule="auto"/>
        <w:jc w:val="center"/>
      </w:pPr>
      <w:r>
        <w:drawing>
          <wp:inline xmlns:a="http://schemas.openxmlformats.org/drawingml/2006/main" xmlns:pic="http://schemas.openxmlformats.org/drawingml/2006/picture">
            <wp:extent cx="6336000" cy="2816000"/>
            <wp:docPr id="23" name="Picture 9043"/>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2816000"/>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45"/>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الرابع 2021م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