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1"/>
            <wp:cNvGraphicFramePr/>
            <a:graphic>
              <a:graphicData uri="http://schemas.openxmlformats.org/drawingml/2006/picture">
                <pic:pic>
                  <pic:nvPicPr>
                    <pic:cNvPr id="9021" name="banner9021.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2"/>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2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10.2462</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600,803,847</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113,306,286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18.86%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23.39%</w:t>
            </w:r>
          </w:p>
        </w:tc>
      </w:tr>
      <w:tr>
        <w:tc>
          <w:tcPr>
            <w:tcW w:type="dxa" w:w="3118"/>
            <w:shd w:val="clear" w:color="auto" w:fill="F3F6FB"/>
          </w:tcPr>
          <w:p>
            <w:pPr>
              <w:spacing w:before="0" w:after="0" w:line="276" w:lineRule="auto"/>
            </w:pPr>
            <w:r>
              <w:rPr>
                <w:rFonts w:ascii="Arial" w:hAnsi="Arial" w:cs="Arial" w:eastAsia="Arial"/>
                <w:color w:val="5A6478"/>
                <w:sz w:val="18"/>
                <w:szCs w:val="18"/>
              </w:rPr>
              <w:t>VALUE AND 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0.21%</w:t>
            </w:r>
          </w:p>
        </w:tc>
      </w:tr>
    </w:tbl>
    <w:p>
      <w:pPr>
        <w:spacing w:before="0" w:after="40" w:line="300" w:lineRule="auto"/>
      </w:pPr>
    </w:p>
    <w:p>
      <w:pPr>
        <w:spacing w:before="0" w:after="80" w:line="312" w:lineRule="auto"/>
      </w:pPr>
      <w:r>
        <w:rPr>
          <w:rFonts w:ascii="Arial" w:hAnsi="Arial" w:cs="Arial" w:eastAsia="Arial"/>
          <w:color w:val="5A6478"/>
          <w:sz w:val="17"/>
          <w:szCs w:val="17"/>
        </w:rPr>
        <w:t>* As at 31 December 2021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2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25"/>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600,803,847</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484,454,364</w:t>
            </w:r>
          </w:p>
        </w:tc>
      </w:tr>
      <w:tr>
        <w:tc>
          <w:tcPr>
            <w:tcW w:type="dxa" w:w="3118"/>
            <w:shd w:val="clear" w:color="auto" w:fill="F3F6FB"/>
          </w:tcPr>
          <w:p>
            <w:pPr>
              <w:spacing w:before="0" w:after="0" w:line="276" w:lineRule="auto"/>
            </w:pPr>
            <w:r>
              <w:rPr>
                <w:rFonts w:ascii="Arial" w:hAnsi="Arial" w:cs="Arial" w:eastAsia="Arial"/>
                <w:color w:val="5A6478"/>
                <w:sz w:val="18"/>
                <w:szCs w:val="18"/>
              </w:rPr>
              <w:t>AMOUNT AND 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r>
              <w:rPr>
                <w:rFonts w:ascii="Arial" w:hAnsi="Arial" w:cs="Arial" w:eastAsia="Arial"/>
                <w:b/>
                <w:bCs/>
                <w:color w:val="0E1E3A"/>
                <w:sz w:val="18"/>
                <w:szCs w:val="18"/>
              </w:rPr>
              <w:t>0.20%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0.24%</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AND FEES FOR THE REPORTING QUARTER</w:t>
            </w:r>
          </w:p>
        </w:tc>
        <w:tc>
          <w:tcPr>
            <w:tcW w:type="dxa" w:w="6860"/>
          </w:tcPr>
          <w:p>
            <w:pPr>
              <w:spacing w:before="0" w:after="0" w:line="276" w:lineRule="auto"/>
            </w:pPr>
            <w:r>
              <w:rPr>
                <w:rFonts w:ascii="Arial" w:hAnsi="Arial" w:cs="Arial" w:eastAsia="Arial"/>
                <w:b/>
                <w:bCs/>
                <w:color w:val="0E1E3A"/>
                <w:sz w:val="18"/>
                <w:szCs w:val="18"/>
              </w:rPr>
              <w:t>SAR 1,466,711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0.30%</w:t>
            </w:r>
          </w:p>
        </w:tc>
      </w:tr>
    </w:tbl>
    <w:p>
      <w:pPr>
        <w:spacing w:before="0" w:after="40" w:line="300" w:lineRule="auto"/>
      </w:pPr>
    </w:p>
    <w:p>
      <w:pPr>
        <w:spacing w:before="0" w:after="80" w:line="312" w:lineRule="auto"/>
      </w:pPr>
      <w:r>
        <w:rPr>
          <w:rFonts w:ascii="Arial" w:hAnsi="Arial" w:cs="Arial" w:eastAsia="Arial"/>
          <w:color w:val="5A6478"/>
          <w:sz w:val="17"/>
          <w:szCs w:val="17"/>
        </w:rPr>
        <w:t>* As at 31 December 2021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2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28"/>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138,235,898</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219,888,478</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76,301,845</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94,447,247</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71,930,379</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30"/>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1" name="Picture 9031"/>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2968216"/>
                    </a:xfrm>
                    <a:prstGeom prst="rect"/>
                  </pic:spPr>
                </pic:pic>
              </a:graphicData>
            </a:graphic>
          </wp:inline>
        </w:drawing>
      </w: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2021</w:t>
            </w:r>
          </w:p>
        </w:tc>
        <w:tc>
          <w:tcPr>
            <w:tcW w:type="dxa" w:w="6860"/>
          </w:tcPr>
          <w:p>
            <w:pPr>
              <w:spacing w:before="0" w:after="0" w:line="276" w:lineRule="auto"/>
            </w:pPr>
            <w:r>
              <w:rPr>
                <w:rFonts w:ascii="Arial" w:hAnsi="Arial" w:cs="Arial" w:eastAsia="Arial"/>
                <w:b/>
                <w:bCs/>
                <w:color w:val="0E1E3A"/>
                <w:sz w:val="18"/>
                <w:szCs w:val="18"/>
              </w:rPr>
              <w:t>SAR 433,098,265</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2021</w:t>
            </w:r>
          </w:p>
        </w:tc>
        <w:tc>
          <w:tcPr>
            <w:tcW w:type="dxa" w:w="6860"/>
          </w:tcPr>
          <w:p>
            <w:pPr>
              <w:spacing w:before="0" w:after="0" w:line="276" w:lineRule="auto"/>
            </w:pPr>
            <w:r>
              <w:rPr>
                <w:rFonts w:ascii="Arial" w:hAnsi="Arial" w:cs="Arial" w:eastAsia="Arial"/>
                <w:b/>
                <w:bCs/>
                <w:color w:val="0E1E3A"/>
                <w:sz w:val="18"/>
                <w:szCs w:val="18"/>
              </w:rPr>
              <w:t>SAR 427,897,304</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2021</w:t>
            </w:r>
          </w:p>
        </w:tc>
        <w:tc>
          <w:tcPr>
            <w:tcW w:type="dxa" w:w="6860"/>
          </w:tcPr>
          <w:p>
            <w:pPr>
              <w:spacing w:before="0" w:after="0" w:line="276" w:lineRule="auto"/>
            </w:pPr>
            <w:r>
              <w:rPr>
                <w:rFonts w:ascii="Arial" w:hAnsi="Arial" w:cs="Arial" w:eastAsia="Arial"/>
                <w:b/>
                <w:bCs/>
                <w:color w:val="0E1E3A"/>
                <w:sz w:val="18"/>
                <w:szCs w:val="18"/>
              </w:rPr>
              <w:t>SAR 409,930,345</w:t>
            </w:r>
          </w:p>
        </w:tc>
      </w:tr>
    </w:tbl>
    <w:p>
      <w:pPr>
        <w:spacing w:before="0" w:after="40" w:line="300" w:lineRule="auto"/>
      </w:pP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Q4 (31 DECEMBER 2021)</w:t>
            </w:r>
          </w:p>
        </w:tc>
        <w:tc>
          <w:tcPr>
            <w:tcW w:type="dxa" w:w="6860"/>
          </w:tcPr>
          <w:p>
            <w:pPr>
              <w:spacing w:before="0" w:after="0" w:line="276" w:lineRule="auto"/>
            </w:pPr>
            <w:r>
              <w:rPr>
                <w:rFonts w:ascii="Arial" w:hAnsi="Arial" w:cs="Arial" w:eastAsia="Arial"/>
                <w:b/>
                <w:bCs/>
                <w:color w:val="0E1E3A"/>
                <w:sz w:val="18"/>
                <w:szCs w:val="18"/>
              </w:rPr>
              <w:t>SAR 8.67</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DURING THE CURRENT QUARTER (FROM 30 SEPTEMBER 2021 TO 31 DECEMBER 2021)*</w:t>
            </w:r>
          </w:p>
        </w:tc>
        <w:tc>
          <w:tcPr>
            <w:tcW w:type="dxa" w:w="6860"/>
          </w:tcPr>
          <w:p>
            <w:pPr>
              <w:spacing w:before="0" w:after="0" w:line="276" w:lineRule="auto"/>
            </w:pPr>
            <w:r>
              <w:rPr>
                <w:rFonts w:ascii="Arial" w:hAnsi="Arial" w:cs="Arial" w:eastAsia="Arial"/>
                <w:b/>
                <w:bCs/>
                <w:color w:val="0E1E3A"/>
                <w:sz w:val="18"/>
                <w:szCs w:val="18"/>
              </w:rPr>
              <w:t>-4.20%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Q4 2021)</w:t>
            </w:r>
          </w:p>
        </w:tc>
        <w:tc>
          <w:tcPr>
            <w:tcW w:type="dxa" w:w="6860"/>
          </w:tcPr>
          <w:p>
            <w:pPr>
              <w:spacing w:before="0" w:after="0" w:line="276" w:lineRule="auto"/>
            </w:pPr>
            <w:r>
              <w:rPr>
                <w:rFonts w:ascii="Arial" w:hAnsi="Arial" w:cs="Arial" w:eastAsia="Arial"/>
                <w:b/>
                <w:bCs/>
                <w:color w:val="0E1E3A"/>
                <w:sz w:val="18"/>
                <w:szCs w:val="18"/>
              </w:rPr>
              <w:t>-13.30%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12.00</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8.59</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bl>
    <w:p>
      <w:pPr>
        <w:spacing w:before="0" w:after="40" w:line="300" w:lineRule="auto"/>
      </w:pPr>
    </w:p>
    <w:p>
      <w:pPr>
        <w:spacing w:before="0" w:after="80" w:line="312" w:lineRule="auto"/>
      </w:pPr>
      <w:r>
        <w:rPr>
          <w:rFonts w:ascii="Arial" w:hAnsi="Arial" w:cs="Arial" w:eastAsia="Arial"/>
          <w:color w:val="5A6478"/>
          <w:sz w:val="17"/>
          <w:szCs w:val="17"/>
        </w:rPr>
        <w:t>* Unit Price as at 30 September 2021 = SAR 9.05.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34"/>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 FOR THE QUARTER</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distribute 100% of the semi-annual profits received from the returns on the Fund's investments after deducting the expenses from the Unitholders twice a year, provided distributions are made during the months of August and February annually.</w:t>
            </w:r>
          </w:p>
        </w:tc>
      </w:tr>
      <w:tr>
        <w:tc>
          <w:tcPr>
            <w:tcW w:type="dxa" w:w="3118"/>
            <w:shd w:val="clear" w:color="auto" w:fill="F3F6FB"/>
          </w:tcPr>
          <w:p>
            <w:pPr>
              <w:spacing w:before="0" w:after="0" w:line="276" w:lineRule="auto"/>
            </w:pPr>
            <w:r>
              <w:rPr>
                <w:rFonts w:ascii="Arial" w:hAnsi="Arial" w:cs="Arial" w:eastAsia="Arial"/>
                <w:color w:val="5A6478"/>
                <w:sz w:val="18"/>
                <w:szCs w:val="18"/>
              </w:rPr>
              <w:t>GROSS INCOME FOR THE PERIOD (1 OCTOBER 2021 - 31 DECEMBER 2021)</w:t>
            </w:r>
          </w:p>
        </w:tc>
        <w:tc>
          <w:tcPr>
            <w:tcW w:type="dxa" w:w="6860"/>
          </w:tcPr>
          <w:p>
            <w:pPr>
              <w:spacing w:before="0" w:after="0" w:line="276" w:lineRule="auto"/>
            </w:pPr>
            <w:r>
              <w:rPr>
                <w:rFonts w:ascii="Arial" w:hAnsi="Arial" w:cs="Arial" w:eastAsia="Arial"/>
                <w:b/>
                <w:bCs/>
                <w:color w:val="0E1E3A"/>
                <w:sz w:val="18"/>
                <w:szCs w:val="18"/>
              </w:rPr>
              <w:t>SAR 8,273,117</w:t>
            </w:r>
          </w:p>
        </w:tc>
      </w:tr>
      <w:tr>
        <w:tc>
          <w:tcPr>
            <w:tcW w:type="dxa" w:w="3118"/>
            <w:shd w:val="clear" w:color="auto" w:fill="F3F6FB"/>
          </w:tcPr>
          <w:p>
            <w:pPr>
              <w:spacing w:before="0" w:after="0" w:line="276" w:lineRule="auto"/>
            </w:pPr>
            <w:r>
              <w:rPr>
                <w:rFonts w:ascii="Arial" w:hAnsi="Arial" w:cs="Arial" w:eastAsia="Arial"/>
                <w:color w:val="5A6478"/>
                <w:sz w:val="18"/>
                <w:szCs w:val="18"/>
              </w:rPr>
              <w:t>INCOME FOR THE PERIOD ON UNIT PRICE (31 DECEMBER 2021)</w:t>
            </w:r>
          </w:p>
        </w:tc>
        <w:tc>
          <w:tcPr>
            <w:tcW w:type="dxa" w:w="6860"/>
          </w:tcPr>
          <w:p>
            <w:pPr>
              <w:spacing w:before="0" w:after="0" w:line="276" w:lineRule="auto"/>
            </w:pPr>
            <w:r>
              <w:rPr>
                <w:rFonts w:ascii="Arial" w:hAnsi="Arial" w:cs="Arial" w:eastAsia="Arial"/>
                <w:b/>
                <w:bCs/>
                <w:color w:val="0E1E3A"/>
                <w:sz w:val="18"/>
                <w:szCs w:val="18"/>
              </w:rPr>
              <w:t>2.02 %</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IN THE REPORTING QUARTER (ANY DIVIDEND PAID SUBSEQUENT TO THE LATEST DISCLOSED REPORT)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PER UNIT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ELIGIBILITY TO CASH DIVIDENDS DISTRIBUTED DURING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IN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INITIAL UNIT PRICE</w:t>
            </w:r>
          </w:p>
        </w:tc>
        <w:tc>
          <w:tcPr>
            <w:tcW w:type="dxa" w:w="6860"/>
          </w:tcPr>
          <w:p>
            <w:pPr>
              <w:spacing w:before="0" w:after="0" w:line="276" w:lineRule="auto"/>
            </w:pPr>
            <w:r>
              <w:rPr>
                <w:rFonts w:ascii="Arial" w:hAnsi="Arial" w:cs="Arial" w:eastAsia="Arial"/>
                <w:b/>
                <w:bCs/>
                <w:color w:val="0E1E3A"/>
                <w:sz w:val="18"/>
                <w:szCs w:val="18"/>
              </w:rPr>
              <w:t>0.00%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35"/>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12M LIBOR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-4.20%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-13.30%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-11.50%</w:t>
            </w:r>
          </w:p>
        </w:tc>
      </w:tr>
    </w:tbl>
    <w:p>
      <w:pPr>
        <w:spacing w:before="0" w:after="40" w:line="300" w:lineRule="auto"/>
      </w:pPr>
    </w:p>
    <w:p>
      <w:pPr>
        <w:spacing w:before="0" w:after="80" w:line="312" w:lineRule="auto"/>
      </w:pPr>
      <w:r>
        <w:rPr>
          <w:rFonts w:ascii="Arial" w:hAnsi="Arial" w:cs="Arial" w:eastAsia="Arial"/>
          <w:color w:val="5A6478"/>
          <w:sz w:val="17"/>
          <w:szCs w:val="17"/>
        </w:rPr>
        <w:t>* From end Q3 to end Q4 2021</w:t>
      </w:r>
      <w:r>
        <w:br/>
      </w:r>
      <w:r>
        <w:rPr>
          <w:rFonts w:ascii="Arial" w:hAnsi="Arial" w:cs="Arial" w:eastAsia="Arial"/>
          <w:color w:val="5A6478"/>
          <w:sz w:val="17"/>
          <w:szCs w:val="17"/>
        </w:rPr>
        <w:t>** From the Fund’s Date of Inception to end Q4 2021</w:t>
      </w:r>
      <w:r>
        <w:br/>
      </w:r>
      <w:r>
        <w:rPr>
          <w:rFonts w:ascii="Arial" w:hAnsi="Arial" w:cs="Arial" w:eastAsia="Arial"/>
          <w:color w:val="5A6478"/>
          <w:sz w:val="17"/>
          <w:szCs w:val="17"/>
        </w:rPr>
        <w:t>*** Total Return = Unit Price Performance + Total Dividend Distributions (if any).</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36"/>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LIBOR + 300 BPS</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10.10</w:t>
            </w:r>
          </w:p>
        </w:tc>
        <w:tc>
          <w:tcPr>
            <w:tcW w:type="dxa" w:w="3326"/>
          </w:tcPr>
          <w:p>
            <w:pPr>
              <w:spacing w:before="0" w:after="0" w:line="264" w:lineRule="auto"/>
            </w:pPr>
            <w:r>
              <w:rPr>
                <w:rFonts w:ascii="Arial" w:hAnsi="Arial" w:cs="Arial" w:eastAsia="Arial"/>
                <w:color w:val="0E1E3A"/>
                <w:sz w:val="17"/>
                <w:szCs w:val="17"/>
              </w:rPr>
              <w:t>NOT APPLICABLE</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10.25</w:t>
            </w:r>
          </w:p>
        </w:tc>
        <w:tc>
          <w:tcPr>
            <w:tcW w:type="dxa" w:w="3326"/>
          </w:tcPr>
          <w:p>
            <w:pPr>
              <w:spacing w:before="0" w:after="0" w:line="264" w:lineRule="auto"/>
            </w:pPr>
            <w:r>
              <w:rPr>
                <w:rFonts w:ascii="Arial" w:hAnsi="Arial" w:cs="Arial" w:eastAsia="Arial"/>
                <w:color w:val="0E1E3A"/>
                <w:sz w:val="17"/>
                <w:szCs w:val="17"/>
              </w:rPr>
              <w:t>NOT APPLICABLE</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1.43%</w:t>
            </w:r>
          </w:p>
        </w:tc>
        <w:tc>
          <w:tcPr>
            <w:tcW w:type="dxa" w:w="3326"/>
          </w:tcPr>
          <w:p>
            <w:pPr>
              <w:spacing w:before="0" w:after="0" w:line="264" w:lineRule="auto"/>
            </w:pPr>
            <w:r>
              <w:rPr>
                <w:rFonts w:ascii="Arial" w:hAnsi="Arial" w:cs="Arial" w:eastAsia="Arial"/>
                <w:color w:val="0E1E3A"/>
                <w:sz w:val="17"/>
                <w:szCs w:val="17"/>
              </w:rPr>
              <w:t>0.80%***</w:t>
            </w:r>
          </w:p>
        </w:tc>
      </w:tr>
    </w:tbl>
    <w:p>
      <w:pPr>
        <w:spacing w:before="0" w:after="40" w:line="300" w:lineRule="auto"/>
      </w:pPr>
    </w:p>
    <w:p>
      <w:pPr>
        <w:spacing w:before="0" w:after="80" w:line="312" w:lineRule="auto"/>
      </w:pPr>
      <w:r>
        <w:rPr>
          <w:rFonts w:ascii="Arial" w:hAnsi="Arial" w:cs="Arial" w:eastAsia="Arial"/>
          <w:color w:val="5A6478"/>
          <w:sz w:val="17"/>
          <w:szCs w:val="17"/>
        </w:rPr>
        <w:t>* As at 30 September 2021</w:t>
      </w:r>
      <w:r>
        <w:br/>
      </w:r>
      <w:r>
        <w:rPr>
          <w:rFonts w:ascii="Arial" w:hAnsi="Arial" w:cs="Arial" w:eastAsia="Arial"/>
          <w:color w:val="5A6478"/>
          <w:sz w:val="17"/>
          <w:szCs w:val="17"/>
        </w:rPr>
        <w:t>** As at 31 December 2021</w:t>
      </w:r>
      <w:r>
        <w:br/>
      </w:r>
      <w:r>
        <w:rPr>
          <w:rFonts w:ascii="Arial" w:hAnsi="Arial" w:cs="Arial" w:eastAsia="Arial"/>
          <w:color w:val="5A6478"/>
          <w:sz w:val="17"/>
          <w:szCs w:val="17"/>
        </w:rPr>
        <w:t>*** Benchmark return is 3.40%</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38"/>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ITEM</w:t>
            </w:r>
          </w:p>
        </w:tc>
        <w:tc>
          <w:tcPr>
            <w:tcW w:type="dxa" w:w="3326"/>
            <w:shd w:val="clear" w:color="auto" w:fill="12284B"/>
          </w:tcPr>
          <w:p>
            <w:pPr>
              <w:spacing w:before="0" w:after="0" w:line="264" w:lineRule="auto"/>
            </w:pPr>
            <w:r>
              <w:rPr>
                <w:rFonts w:ascii="Arial" w:hAnsi="Arial" w:cs="Arial" w:eastAsia="Arial"/>
                <w:b/>
                <w:bCs/>
                <w:color w:val="FFFFFF"/>
                <w:sz w:val="17"/>
                <w:szCs w:val="17"/>
              </w:rPr>
              <w:t>3 MONTHS*</w:t>
            </w:r>
          </w:p>
        </w:tc>
        <w:tc>
          <w:tcPr>
            <w:tcW w:type="dxa" w:w="3326"/>
            <w:shd w:val="clear" w:color="auto" w:fill="12284B"/>
          </w:tcPr>
          <w:p>
            <w:pPr>
              <w:spacing w:before="0" w:after="0" w:line="264" w:lineRule="auto"/>
            </w:pPr>
            <w:r>
              <w:rPr>
                <w:rFonts w:ascii="Arial" w:hAnsi="Arial" w:cs="Arial" w:eastAsia="Arial"/>
                <w:b/>
                <w:bCs/>
                <w:color w:val="FFFFFF"/>
                <w:sz w:val="17"/>
                <w:szCs w:val="17"/>
              </w:rPr>
              <w:t>SINCE INCEPTION OF THE FUND UP TO 31 DECEMBER 2021**</w:t>
            </w:r>
          </w:p>
        </w:tc>
      </w:tr>
      <w:tr>
        <w:tc>
          <w:tcPr>
            <w:tcW w:type="dxa" w:w="3326"/>
          </w:tcPr>
          <w:p>
            <w:pPr>
              <w:spacing w:before="0" w:after="0" w:line="264" w:lineRule="auto"/>
            </w:pPr>
            <w:r>
              <w:rPr>
                <w:rFonts w:ascii="Arial" w:hAnsi="Arial" w:cs="Arial" w:eastAsia="Arial"/>
                <w:color w:val="0E1E3A"/>
                <w:sz w:val="17"/>
                <w:szCs w:val="17"/>
              </w:rPr>
              <w:t>NAV/UNIT PERFORMANCE</w:t>
            </w:r>
          </w:p>
        </w:tc>
        <w:tc>
          <w:tcPr>
            <w:tcW w:type="dxa" w:w="3326"/>
          </w:tcPr>
          <w:p>
            <w:pPr>
              <w:spacing w:before="0" w:after="0" w:line="264" w:lineRule="auto"/>
            </w:pPr>
            <w:r>
              <w:rPr>
                <w:rFonts w:ascii="Arial" w:hAnsi="Arial" w:cs="Arial" w:eastAsia="Arial"/>
                <w:color w:val="0E1E3A"/>
                <w:sz w:val="17"/>
                <w:szCs w:val="17"/>
              </w:rPr>
              <w:t>1.43%</w:t>
            </w:r>
          </w:p>
        </w:tc>
        <w:tc>
          <w:tcPr>
            <w:tcW w:type="dxa" w:w="3326"/>
          </w:tcPr>
          <w:p>
            <w:pPr>
              <w:spacing w:before="0" w:after="0" w:line="264" w:lineRule="auto"/>
            </w:pPr>
            <w:r>
              <w:rPr>
                <w:rFonts w:ascii="Arial" w:hAnsi="Arial" w:cs="Arial" w:eastAsia="Arial"/>
                <w:color w:val="0E1E3A"/>
                <w:sz w:val="17"/>
                <w:szCs w:val="17"/>
              </w:rPr>
              <w:t>4.26%</w:t>
            </w:r>
          </w:p>
        </w:tc>
      </w:tr>
      <w:tr>
        <w:tc>
          <w:tcPr>
            <w:tcW w:type="dxa" w:w="3326"/>
          </w:tcPr>
          <w:p>
            <w:pPr>
              <w:spacing w:before="0" w:after="0" w:line="264" w:lineRule="auto"/>
            </w:pPr>
            <w:r>
              <w:rPr>
                <w:rFonts w:ascii="Arial" w:hAnsi="Arial" w:cs="Arial" w:eastAsia="Arial"/>
                <w:color w:val="0E1E3A"/>
                <w:sz w:val="17"/>
                <w:szCs w:val="17"/>
              </w:rPr>
              <w:t>BENCHMARK PERFORMANCE</w:t>
            </w:r>
          </w:p>
        </w:tc>
        <w:tc>
          <w:tcPr>
            <w:tcW w:type="dxa" w:w="3326"/>
          </w:tcPr>
          <w:p>
            <w:pPr>
              <w:spacing w:before="0" w:after="0" w:line="264" w:lineRule="auto"/>
            </w:pPr>
            <w:r>
              <w:rPr>
                <w:rFonts w:ascii="Arial" w:hAnsi="Arial" w:cs="Arial" w:eastAsia="Arial"/>
                <w:color w:val="0E1E3A"/>
                <w:sz w:val="17"/>
                <w:szCs w:val="17"/>
              </w:rPr>
              <w:t>0.85%</w:t>
            </w:r>
          </w:p>
        </w:tc>
        <w:tc>
          <w:tcPr>
            <w:tcW w:type="dxa" w:w="3326"/>
          </w:tcPr>
          <w:p>
            <w:pPr>
              <w:spacing w:before="0" w:after="0" w:line="264" w:lineRule="auto"/>
            </w:pPr>
            <w:r>
              <w:rPr>
                <w:rFonts w:ascii="Arial" w:hAnsi="Arial" w:cs="Arial" w:eastAsia="Arial"/>
                <w:color w:val="0E1E3A"/>
                <w:sz w:val="17"/>
                <w:szCs w:val="17"/>
              </w:rPr>
              <w:t>3.24%</w:t>
            </w:r>
          </w:p>
        </w:tc>
      </w:tr>
      <w:tr>
        <w:tc>
          <w:tcPr>
            <w:tcW w:type="dxa" w:w="3326"/>
          </w:tcPr>
          <w:p>
            <w:pPr>
              <w:spacing w:before="0" w:after="0" w:line="264" w:lineRule="auto"/>
            </w:pPr>
            <w:r>
              <w:rPr>
                <w:rFonts w:ascii="Arial" w:hAnsi="Arial" w:cs="Arial" w:eastAsia="Arial"/>
                <w:color w:val="0E1E3A"/>
                <w:sz w:val="17"/>
                <w:szCs w:val="17"/>
              </w:rPr>
              <w:t>PERFORMANCE SPREAD</w:t>
            </w:r>
          </w:p>
        </w:tc>
        <w:tc>
          <w:tcPr>
            <w:tcW w:type="dxa" w:w="3326"/>
          </w:tcPr>
          <w:p>
            <w:pPr>
              <w:spacing w:before="0" w:after="0" w:line="264" w:lineRule="auto"/>
            </w:pPr>
            <w:r>
              <w:rPr>
                <w:rFonts w:ascii="Arial" w:hAnsi="Arial" w:cs="Arial" w:eastAsia="Arial"/>
                <w:color w:val="0E1E3A"/>
                <w:sz w:val="17"/>
                <w:szCs w:val="17"/>
              </w:rPr>
              <w:t>0.58%</w:t>
            </w:r>
          </w:p>
        </w:tc>
        <w:tc>
          <w:tcPr>
            <w:tcW w:type="dxa" w:w="3326"/>
          </w:tcPr>
          <w:p>
            <w:pPr>
              <w:spacing w:before="0" w:after="0" w:line="264" w:lineRule="auto"/>
            </w:pPr>
            <w:r>
              <w:rPr>
                <w:rFonts w:ascii="Arial" w:hAnsi="Arial" w:cs="Arial" w:eastAsia="Arial"/>
                <w:color w:val="0E1E3A"/>
                <w:sz w:val="17"/>
                <w:szCs w:val="17"/>
              </w:rPr>
              <w:t>1.02%</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October 2021 to 31 December 2021</w:t>
      </w:r>
      <w:r>
        <w:br/>
      </w:r>
      <w:r>
        <w:rPr>
          <w:rFonts w:ascii="Arial" w:hAnsi="Arial" w:cs="Arial" w:eastAsia="Arial"/>
          <w:color w:val="5A6478"/>
          <w:sz w:val="17"/>
          <w:szCs w:val="17"/>
        </w:rPr>
        <w:t>** For the period from 19 January 2021 to 31 December 2021, including cash distributions of 1.80%.</w:t>
      </w:r>
      <w:r>
        <w:br/>
      </w:r>
      <w:r>
        <w:rPr>
          <w:rFonts w:ascii="Arial" w:hAnsi="Arial" w:cs="Arial" w:eastAsia="Arial"/>
          <w:color w:val="5A6478"/>
          <w:sz w:val="17"/>
          <w:szCs w:val="17"/>
        </w:rPr>
        <w:t>Knowing that the Unit Price in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39"/>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3326"/>
            <w:shd w:val="clear" w:color="auto" w:fill="12284B"/>
          </w:tcPr>
          <w:p>
            <w:pPr>
              <w:spacing w:before="0" w:after="0" w:line="264" w:lineRule="auto"/>
            </w:pPr>
            <w:r>
              <w:rPr>
                <w:rFonts w:ascii="Arial" w:hAnsi="Arial" w:cs="Arial" w:eastAsia="Arial"/>
                <w:b/>
                <w:bCs/>
                <w:color w:val="FFFFFF"/>
                <w:sz w:val="17"/>
                <w:szCs w:val="17"/>
              </w:rPr>
              <w:t>3 MONTHS1</w:t>
            </w:r>
          </w:p>
        </w:tc>
        <w:tc>
          <w:tcPr>
            <w:tcW w:type="dxa" w:w="3326"/>
            <w:shd w:val="clear" w:color="auto" w:fill="12284B"/>
          </w:tcPr>
          <w:p>
            <w:pPr>
              <w:spacing w:before="0" w:after="0" w:line="264" w:lineRule="auto"/>
            </w:pPr>
            <w:r>
              <w:rPr>
                <w:rFonts w:ascii="Arial" w:hAnsi="Arial" w:cs="Arial" w:eastAsia="Arial"/>
                <w:b/>
                <w:bCs/>
                <w:color w:val="FFFFFF"/>
                <w:sz w:val="17"/>
                <w:szCs w:val="17"/>
              </w:rPr>
              <w:t>SINCE INCEPTION OF THE FUND UP TO 31 DECEMBER 20212</w:t>
            </w:r>
          </w:p>
        </w:tc>
      </w:tr>
      <w:tr>
        <w:tc>
          <w:tcPr>
            <w:tcW w:type="dxa" w:w="3326"/>
          </w:tcPr>
          <w:p>
            <w:pPr>
              <w:spacing w:before="0" w:after="0" w:line="264" w:lineRule="auto"/>
            </w:pPr>
            <w:r>
              <w:rPr>
                <w:rFonts w:ascii="Arial" w:hAnsi="Arial" w:cs="Arial" w:eastAsia="Arial"/>
                <w:color w:val="0E1E3A"/>
                <w:sz w:val="17"/>
                <w:szCs w:val="17"/>
              </w:rPr>
              <w:t>STANDARD DEVIATION3</w:t>
            </w:r>
          </w:p>
        </w:tc>
        <w:tc>
          <w:tcPr>
            <w:tcW w:type="dxa" w:w="3326"/>
          </w:tcPr>
          <w:p>
            <w:pPr>
              <w:spacing w:before="0" w:after="0" w:line="264" w:lineRule="auto"/>
            </w:pPr>
            <w:r>
              <w:rPr>
                <w:rFonts w:ascii="Arial" w:hAnsi="Arial" w:cs="Arial" w:eastAsia="Arial"/>
                <w:color w:val="0E1E3A"/>
                <w:sz w:val="17"/>
                <w:szCs w:val="17"/>
              </w:rPr>
              <w:t>6.42</w:t>
            </w:r>
          </w:p>
        </w:tc>
        <w:tc>
          <w:tcPr>
            <w:tcW w:type="dxa" w:w="3326"/>
          </w:tcPr>
          <w:p>
            <w:pPr>
              <w:spacing w:before="0" w:after="0" w:line="264" w:lineRule="auto"/>
            </w:pPr>
            <w:r>
              <w:rPr>
                <w:rFonts w:ascii="Arial" w:hAnsi="Arial" w:cs="Arial" w:eastAsia="Arial"/>
                <w:color w:val="0E1E3A"/>
                <w:sz w:val="17"/>
                <w:szCs w:val="17"/>
              </w:rPr>
              <w:t>9.83</w:t>
            </w:r>
          </w:p>
        </w:tc>
      </w:tr>
      <w:tr>
        <w:tc>
          <w:tcPr>
            <w:tcW w:type="dxa" w:w="3326"/>
          </w:tcPr>
          <w:p>
            <w:pPr>
              <w:spacing w:before="0" w:after="0" w:line="264" w:lineRule="auto"/>
            </w:pPr>
            <w:r>
              <w:rPr>
                <w:rFonts w:ascii="Arial" w:hAnsi="Arial" w:cs="Arial" w:eastAsia="Arial"/>
                <w:color w:val="0E1E3A"/>
                <w:sz w:val="17"/>
                <w:szCs w:val="17"/>
              </w:rPr>
              <w:t>SHARPE RATIO4</w:t>
            </w:r>
          </w:p>
        </w:tc>
        <w:tc>
          <w:tcPr>
            <w:tcW w:type="dxa" w:w="3326"/>
          </w:tcPr>
          <w:p>
            <w:pPr>
              <w:spacing w:before="0" w:after="0" w:line="264" w:lineRule="auto"/>
            </w:pPr>
            <w:r>
              <w:rPr>
                <w:rFonts w:ascii="Arial" w:hAnsi="Arial" w:cs="Arial" w:eastAsia="Arial"/>
                <w:color w:val="0E1E3A"/>
                <w:sz w:val="17"/>
                <w:szCs w:val="17"/>
              </w:rPr>
              <w:t>-2.33</w:t>
            </w:r>
          </w:p>
        </w:tc>
        <w:tc>
          <w:tcPr>
            <w:tcW w:type="dxa" w:w="3326"/>
          </w:tcPr>
          <w:p>
            <w:pPr>
              <w:spacing w:before="0" w:after="0" w:line="264" w:lineRule="auto"/>
            </w:pPr>
            <w:r>
              <w:rPr>
                <w:rFonts w:ascii="Arial" w:hAnsi="Arial" w:cs="Arial" w:eastAsia="Arial"/>
                <w:color w:val="0E1E3A"/>
                <w:sz w:val="17"/>
                <w:szCs w:val="17"/>
              </w:rPr>
              <w:t>-1.25</w:t>
            </w:r>
          </w:p>
        </w:tc>
      </w:tr>
      <w:tr>
        <w:tc>
          <w:tcPr>
            <w:tcW w:type="dxa" w:w="3326"/>
          </w:tcPr>
          <w:p>
            <w:pPr>
              <w:spacing w:before="0" w:after="0" w:line="264" w:lineRule="auto"/>
            </w:pPr>
            <w:r>
              <w:rPr>
                <w:rFonts w:ascii="Arial" w:hAnsi="Arial" w:cs="Arial" w:eastAsia="Arial"/>
                <w:color w:val="0E1E3A"/>
                <w:sz w:val="17"/>
                <w:szCs w:val="17"/>
              </w:rPr>
              <w:t>TRACKING ERROR5</w:t>
            </w:r>
          </w:p>
        </w:tc>
        <w:tc>
          <w:tcPr>
            <w:tcW w:type="dxa" w:w="3326"/>
          </w:tcPr>
          <w:p>
            <w:pPr>
              <w:spacing w:before="0" w:after="0" w:line="264" w:lineRule="auto"/>
            </w:pPr>
            <w:r>
              <w:rPr>
                <w:rFonts w:ascii="Arial" w:hAnsi="Arial" w:cs="Arial" w:eastAsia="Arial"/>
                <w:color w:val="0E1E3A"/>
                <w:sz w:val="17"/>
                <w:szCs w:val="17"/>
              </w:rPr>
              <w:t>6.43</w:t>
            </w:r>
          </w:p>
        </w:tc>
        <w:tc>
          <w:tcPr>
            <w:tcW w:type="dxa" w:w="3326"/>
          </w:tcPr>
          <w:p>
            <w:pPr>
              <w:spacing w:before="0" w:after="0" w:line="264" w:lineRule="auto"/>
            </w:pPr>
            <w:r>
              <w:rPr>
                <w:rFonts w:ascii="Arial" w:hAnsi="Arial" w:cs="Arial" w:eastAsia="Arial"/>
                <w:color w:val="0E1E3A"/>
                <w:sz w:val="17"/>
                <w:szCs w:val="17"/>
              </w:rPr>
              <w:t>9.84</w:t>
            </w:r>
          </w:p>
        </w:tc>
      </w:tr>
      <w:tr>
        <w:tc>
          <w:tcPr>
            <w:tcW w:type="dxa" w:w="3326"/>
          </w:tcPr>
          <w:p>
            <w:pPr>
              <w:spacing w:before="0" w:after="0" w:line="264" w:lineRule="auto"/>
            </w:pPr>
            <w:r>
              <w:rPr>
                <w:rFonts w:ascii="Arial" w:hAnsi="Arial" w:cs="Arial" w:eastAsia="Arial"/>
                <w:color w:val="0E1E3A"/>
                <w:sz w:val="17"/>
                <w:szCs w:val="17"/>
              </w:rPr>
              <w:t>BETA6</w:t>
            </w:r>
          </w:p>
        </w:tc>
        <w:tc>
          <w:tcPr>
            <w:tcW w:type="dxa" w:w="3326"/>
          </w:tcPr>
          <w:p>
            <w:pPr>
              <w:spacing w:before="0" w:after="0" w:line="264" w:lineRule="auto"/>
            </w:pPr>
            <w:r>
              <w:rPr>
                <w:rFonts w:ascii="Arial" w:hAnsi="Arial" w:cs="Arial" w:eastAsia="Arial"/>
                <w:color w:val="0E1E3A"/>
                <w:sz w:val="17"/>
                <w:szCs w:val="17"/>
              </w:rPr>
              <w:t>-38.31</w:t>
            </w:r>
          </w:p>
        </w:tc>
        <w:tc>
          <w:tcPr>
            <w:tcW w:type="dxa" w:w="3326"/>
          </w:tcPr>
          <w:p>
            <w:pPr>
              <w:spacing w:before="0" w:after="0" w:line="264" w:lineRule="auto"/>
            </w:pPr>
            <w:r>
              <w:rPr>
                <w:rFonts w:ascii="Arial" w:hAnsi="Arial" w:cs="Arial" w:eastAsia="Arial"/>
                <w:color w:val="0E1E3A"/>
                <w:sz w:val="17"/>
                <w:szCs w:val="17"/>
              </w:rPr>
              <w:t>-6.67</w:t>
            </w:r>
          </w:p>
        </w:tc>
      </w:tr>
      <w:tr>
        <w:tc>
          <w:tcPr>
            <w:tcW w:type="dxa" w:w="3326"/>
          </w:tcPr>
          <w:p>
            <w:pPr>
              <w:spacing w:before="0" w:after="0" w:line="264" w:lineRule="auto"/>
            </w:pPr>
            <w:r>
              <w:rPr>
                <w:rFonts w:ascii="Arial" w:hAnsi="Arial" w:cs="Arial" w:eastAsia="Arial"/>
                <w:color w:val="0E1E3A"/>
                <w:sz w:val="17"/>
                <w:szCs w:val="17"/>
              </w:rPr>
              <w:t>ALPHA7</w:t>
            </w:r>
          </w:p>
        </w:tc>
        <w:tc>
          <w:tcPr>
            <w:tcW w:type="dxa" w:w="3326"/>
          </w:tcPr>
          <w:p>
            <w:pPr>
              <w:spacing w:before="0" w:after="0" w:line="264" w:lineRule="auto"/>
            </w:pPr>
            <w:r>
              <w:rPr>
                <w:rFonts w:ascii="Arial" w:hAnsi="Arial" w:cs="Arial" w:eastAsia="Arial"/>
                <w:color w:val="0E1E3A"/>
                <w:sz w:val="17"/>
                <w:szCs w:val="17"/>
              </w:rPr>
              <w:t>-19.40%</w:t>
            </w:r>
          </w:p>
        </w:tc>
        <w:tc>
          <w:tcPr>
            <w:tcW w:type="dxa" w:w="3326"/>
          </w:tcPr>
          <w:p>
            <w:pPr>
              <w:spacing w:before="0" w:after="0" w:line="264" w:lineRule="auto"/>
            </w:pPr>
            <w:r>
              <w:rPr>
                <w:rFonts w:ascii="Arial" w:hAnsi="Arial" w:cs="Arial" w:eastAsia="Arial"/>
                <w:color w:val="0E1E3A"/>
                <w:sz w:val="17"/>
                <w:szCs w:val="17"/>
              </w:rPr>
              <w:t>-16.28%</w:t>
            </w:r>
          </w:p>
        </w:tc>
      </w:tr>
      <w:tr>
        <w:tc>
          <w:tcPr>
            <w:tcW w:type="dxa" w:w="3326"/>
          </w:tcPr>
          <w:p>
            <w:pPr>
              <w:spacing w:before="0" w:after="0" w:line="264" w:lineRule="auto"/>
            </w:pPr>
            <w:r>
              <w:rPr>
                <w:rFonts w:ascii="Arial" w:hAnsi="Arial" w:cs="Arial" w:eastAsia="Arial"/>
                <w:color w:val="0E1E3A"/>
                <w:sz w:val="17"/>
                <w:szCs w:val="17"/>
              </w:rPr>
              <w:t>INFORMATION RATIO8</w:t>
            </w:r>
          </w:p>
        </w:tc>
        <w:tc>
          <w:tcPr>
            <w:tcW w:type="dxa" w:w="3326"/>
          </w:tcPr>
          <w:p>
            <w:pPr>
              <w:spacing w:before="0" w:after="0" w:line="264" w:lineRule="auto"/>
            </w:pPr>
            <w:r>
              <w:rPr>
                <w:rFonts w:ascii="Arial" w:hAnsi="Arial" w:cs="Arial" w:eastAsia="Arial"/>
                <w:color w:val="0E1E3A"/>
                <w:sz w:val="17"/>
                <w:szCs w:val="17"/>
              </w:rPr>
              <w:t>-3.02%</w:t>
            </w:r>
          </w:p>
        </w:tc>
        <w:tc>
          <w:tcPr>
            <w:tcW w:type="dxa" w:w="3326"/>
          </w:tcPr>
          <w:p>
            <w:pPr>
              <w:spacing w:before="0" w:after="0" w:line="264" w:lineRule="auto"/>
            </w:pPr>
            <w:r>
              <w:rPr>
                <w:rFonts w:ascii="Arial" w:hAnsi="Arial" w:cs="Arial" w:eastAsia="Arial"/>
                <w:color w:val="0E1E3A"/>
                <w:sz w:val="17"/>
                <w:szCs w:val="17"/>
              </w:rPr>
              <w:t>-1.65%</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1 July 2021 to 31 December 2021</w:t>
      </w:r>
      <w:r>
        <w:br/>
      </w:r>
      <w:r>
        <w:rPr>
          <w:rFonts w:ascii="Arial" w:hAnsi="Arial" w:cs="Arial" w:eastAsia="Arial"/>
          <w:color w:val="5A6478"/>
          <w:sz w:val="17"/>
          <w:szCs w:val="17"/>
        </w:rPr>
        <w:t>2. For the period from 19 January 2021 to 31 December 2021</w:t>
      </w:r>
      <w:r>
        <w:br/>
      </w:r>
      <w:r>
        <w:rPr>
          <w:rFonts w:ascii="Arial" w:hAnsi="Arial" w:cs="Arial" w:eastAsia="Arial"/>
          <w:color w:val="5A6478"/>
          <w:sz w:val="17"/>
          <w:szCs w:val="17"/>
        </w:rPr>
        <w:t>3.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4. Sharpe Ratio is a risk-adjusted performance measure. It is calculated as the difference as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5.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6.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7. Alpha measures any excess return achieved by the Fund compared to the performance of the index.</w:t>
      </w:r>
      <w:r>
        <w:br/>
      </w:r>
      <w:r>
        <w:rPr>
          <w:rFonts w:ascii="Arial" w:hAnsi="Arial" w:cs="Arial" w:eastAsia="Arial"/>
          <w:color w:val="5A6478"/>
          <w:sz w:val="17"/>
          <w:szCs w:val="17"/>
        </w:rPr>
        <w:t>8. Information Ratio is a risk-adjusted performance measure. It is calculated as the active return of the Fund Manager, divided by its tracking error. The higher the Information ratio, the higher the Fund Manager ability to generate excess returns per Unit of excess risk. Knowing that the performance and risk parameters were calculated based on the Unit's trading prices in the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0"/>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MATERIAL OR SIGNIFICANT CHANGES AFFECTING THE PERFORMANCE OF THE FUND</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invested 36.6% of the Fund’s assets in leasing transactions across several types of equipment and companies. The leasing portfolio is mainly invested in the United States and is expected to generate a total return of 6.5% annually over the next five-year term.</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invested 23.0% of the Fund’s assets in trade finance transactions with several counterparties and across various industries, mostly in the European continent. All executed transactions are of a short-term nature, with returns ranging between 6.0% to 7.0% annually.</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invested 12.7% of the Fund’s assets in Sukuk of different credit ratings, including sovereign, semi-sovereign and corporate Sukuk. The Fund Manager has obtained credit facilities that support increasing the Portfolio’s returns to over 5% per annum, while maintaining a weighted average for classifying the Portfolio as an investment grade.</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To diversify the Fund’s investments, the Fund Manager invested 15.7% of the Fund’s assets in income funds, ranging from private financing and leasing to trade finance and securitization, with an expected average annual return of 6% to 7%.</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succeeded in obtaining Shari’a compliant financing during December 2021 amounting to SAR 75,796,490. The financing amount was placed in Ijara transactions and income funds. The Fund Manager intends to use the financing to improve the Fund’s returns in the short to medium term.</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plans to distribute the profits earned as per the targeted timeframe specified in the Terms and Conditions.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1"/>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TRADE FINANCE AND SUKUK INDUSTRIES</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80" w:line="312" w:lineRule="auto"/>
      </w:pPr>
      <w:r>
        <w:rPr>
          <w:rFonts w:ascii="Arial" w:hAnsi="Arial" w:cs="Arial" w:eastAsia="Arial"/>
          <w:color w:val="0E1E3A"/>
          <w:sz w:val="20"/>
          <w:szCs w:val="20"/>
        </w:rPr>
        <w:t>While the global economies faced significant operational challenges in 2020 on account of the restrictive containment measures and the closure of the commercial activities, the gradual normalization of economic activities in 2021 driven by the availability of vaccines and higher vaccination rates have supported recovery in equipment leasing.</w:t>
      </w:r>
    </w:p>
    <w:p>
      <w:pPr>
        <w:spacing w:before="0" w:after="80" w:line="312" w:lineRule="auto"/>
      </w:pPr>
      <w:r>
        <w:rPr>
          <w:rFonts w:ascii="Arial" w:hAnsi="Arial" w:cs="Arial" w:eastAsia="Arial"/>
          <w:color w:val="0E1E3A"/>
          <w:sz w:val="20"/>
          <w:szCs w:val="20"/>
        </w:rPr>
        <w:t>The Monthly Confidence Index for the Equipment Finance Industry (MCI-EFI) rebounded to 64.6 in November from 61.1 in October, indicating a positive business outlook.</w:t>
      </w:r>
    </w:p>
    <w:p>
      <w:pPr>
        <w:spacing w:before="0" w:after="80" w:line="312" w:lineRule="auto"/>
      </w:pPr>
      <w:r>
        <w:rPr>
          <w:rFonts w:ascii="Arial" w:hAnsi="Arial" w:cs="Arial" w:eastAsia="Arial"/>
          <w:color w:val="0E1E3A"/>
          <w:sz w:val="20"/>
          <w:szCs w:val="20"/>
        </w:rPr>
        <w:t>The Equipment Leasing and Finance Association’s Monthly Leasing and Finance Index (MLFI-25) that tracks the economic activity of 25 prominent companies representing a cross section of the equipment finance sector, showed that YTD (through October) new business volume growth rose 10.5% as compared to 2020 levels.</w:t>
      </w:r>
    </w:p>
    <w:p>
      <w:pPr>
        <w:spacing w:before="0" w:after="80" w:line="312" w:lineRule="auto"/>
      </w:pPr>
      <w:r>
        <w:rPr>
          <w:rFonts w:ascii="Arial" w:hAnsi="Arial" w:cs="Arial" w:eastAsia="Arial"/>
          <w:color w:val="0E1E3A"/>
          <w:sz w:val="20"/>
          <w:szCs w:val="20"/>
        </w:rPr>
        <w:t>According to a recent report issued by the US Equipment Leasing and Finance Association (ELFA), investment in most equipment verticals is showing signs of peaking or slowing over the next six months. However, ELFA expects volume of investment in equipment in the US to expand by 4.6% Year-on-Year in 2022, with a pickup in the pace of investment during the second half of the year.</w:t>
      </w:r>
    </w:p>
    <w:p>
      <w:pPr>
        <w:spacing w:before="0" w:after="80" w:line="312" w:lineRule="auto"/>
      </w:pPr>
      <w:r>
        <w:rPr>
          <w:rFonts w:ascii="Arial" w:hAnsi="Arial" w:cs="Arial" w:eastAsia="Arial"/>
          <w:color w:val="0E1E3A"/>
          <w:sz w:val="20"/>
          <w:szCs w:val="20"/>
        </w:rPr>
        <w:t>As per estimates from ‘The Business Research Company’, the global machinery and equipment leasing market size is expected to grow from $316.2 billion in 2020 to $454.78 billion in 2025, at a strong CAGR of 7%. The Business Research Company sees the heavy construction machinery and equipment leasing segment as the segment with the most attractive opportunities.</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80" w:line="312" w:lineRule="auto"/>
      </w:pPr>
      <w:r>
        <w:rPr>
          <w:rFonts w:ascii="Arial" w:hAnsi="Arial" w:cs="Arial" w:eastAsia="Arial"/>
          <w:color w:val="0E1E3A"/>
          <w:sz w:val="20"/>
          <w:szCs w:val="20"/>
        </w:rPr>
        <w:t>While the global trade volumes bounced back in 2021 following a sharp drop in the initial stages of the spread of the COVID-19 pandemic in 2020, several supply chain bottlenecks continue to threaten the pace of recovery. Global trade volume is expected to reach about $28 trillion in 2021, an increase of 23% as compared to 2020.</w:t>
      </w:r>
    </w:p>
    <w:p>
      <w:pPr>
        <w:spacing w:before="0" w:after="80" w:line="312" w:lineRule="auto"/>
      </w:pPr>
      <w:r>
        <w:rPr>
          <w:rFonts w:ascii="Arial" w:hAnsi="Arial" w:cs="Arial" w:eastAsia="Arial"/>
          <w:color w:val="0E1E3A"/>
          <w:sz w:val="20"/>
          <w:szCs w:val="20"/>
        </w:rPr>
        <w:t>Boston Consulting Group (BCG) estimates the global revenue pool of the trade finance industry to reach $68 billion in 2030, leaving an extra $23 billion of revenues up for the trade finance players as compared to 2020 levels of $45 billion.</w:t>
      </w:r>
    </w:p>
    <w:p>
      <w:pPr>
        <w:spacing w:before="0" w:after="80" w:line="312" w:lineRule="auto"/>
      </w:pPr>
      <w:r>
        <w:rPr>
          <w:rFonts w:ascii="Arial" w:hAnsi="Arial" w:cs="Arial" w:eastAsia="Arial"/>
          <w:color w:val="0E1E3A"/>
          <w:sz w:val="20"/>
          <w:szCs w:val="20"/>
        </w:rPr>
        <w:t>The rise of digitalized platforms has been a notable trend in the trade finance space. According to the Asian Development Bank’s 2021 Trade Finance Survey, lockdown conditions on account of the spread of the pandemic accelerated the need for digital processes in the trade finance sector. This also propelled various fintech players to offer digital platforms to enable trade finance. S&amp;P Global suggests that the banks will have to speed up their digitalization efforts and innovate their products to capture the increasing competition from the non-traditional digitalized service providers. As per BCG’s estimates, around 10% to 25% of the total trade finance volume and 20% to 25% of the volume of the small and medium-sized enterprises’ trade finance will be conducted through digital platforms through 2025.</w:t>
      </w:r>
    </w:p>
    <w:p>
      <w:pPr>
        <w:spacing w:before="0" w:after="80" w:line="312" w:lineRule="auto"/>
      </w:pPr>
      <w:r>
        <w:rPr>
          <w:rFonts w:ascii="Arial" w:hAnsi="Arial" w:cs="Arial" w:eastAsia="Arial"/>
          <w:color w:val="0E1E3A"/>
          <w:sz w:val="20"/>
          <w:szCs w:val="20"/>
        </w:rPr>
        <w:t>Notably, companies, such as Amazon, Alibaba and PayPal Holdings, have already established lending arms to offer working capital to their own vendors, by using the sales data to assess performance and manage risks.</w:t>
      </w:r>
    </w:p>
    <w:p>
      <w:pPr>
        <w:spacing w:before="0" w:after="80" w:line="312" w:lineRule="auto"/>
      </w:pPr>
      <w:r>
        <w:rPr>
          <w:rFonts w:ascii="Arial" w:hAnsi="Arial" w:cs="Arial" w:eastAsia="Arial"/>
          <w:color w:val="0E1E3A"/>
          <w:sz w:val="20"/>
          <w:szCs w:val="20"/>
        </w:rPr>
        <w:t>A recent report from the World Trade Organization (WTO) notes that the supply chain issues in critical sectors and the gridlock in the shipping sector are worsening prospects for global trade. UN notes that the outlook for 2022 “remains very uncertain”. The pessimistic outlook is exacerbated by the fact that many global economies, including those in Europe, continue to face COVID-19-related disruption, which affects consumer demand in 2022.</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80" w:line="312" w:lineRule="auto"/>
      </w:pPr>
      <w:r>
        <w:rPr>
          <w:rFonts w:ascii="Arial" w:hAnsi="Arial" w:cs="Arial" w:eastAsia="Arial"/>
          <w:color w:val="0E1E3A"/>
          <w:sz w:val="20"/>
          <w:szCs w:val="20"/>
        </w:rPr>
        <w:t>According to Refinitiv, the global Sukuk issuance volume reached $147 billion at the end of the first nine months of 2021 and is expected to continue its momentum to reach $180 billion by the end of 2021.</w:t>
      </w:r>
    </w:p>
    <w:p>
      <w:pPr>
        <w:spacing w:before="0" w:after="80" w:line="312" w:lineRule="auto"/>
      </w:pPr>
      <w:r>
        <w:rPr>
          <w:rFonts w:ascii="Arial" w:hAnsi="Arial" w:cs="Arial" w:eastAsia="Arial"/>
          <w:color w:val="0E1E3A"/>
          <w:sz w:val="20"/>
          <w:szCs w:val="20"/>
        </w:rPr>
        <w:t>Over 90% of the Sukuk issuances for the first nine months of 2021 came from five countries, namely Malaysia ($58 billion), Saudi Arabia ($32 billion), Indonesia ($22 billion), Turkey ($11 billion) and Kuwait ($9 billion).</w:t>
      </w:r>
    </w:p>
    <w:p>
      <w:pPr>
        <w:spacing w:before="0" w:after="80" w:line="312" w:lineRule="auto"/>
      </w:pPr>
      <w:r>
        <w:rPr>
          <w:rFonts w:ascii="Arial" w:hAnsi="Arial" w:cs="Arial" w:eastAsia="Arial"/>
          <w:color w:val="0E1E3A"/>
          <w:sz w:val="20"/>
          <w:szCs w:val="20"/>
        </w:rPr>
        <w:t>In terms of issuer type, issuances from sovereign issuers accounted for 58% of the total Sukuk issuances (for the first nine months of 2021), amounting to $85 billion, while corporate Sukuk issuances totaled $34.7 billion, registering an increase of 9% as compared to the first nine months of 2020.</w:t>
      </w:r>
    </w:p>
    <w:p>
      <w:pPr>
        <w:spacing w:before="0" w:after="80" w:line="312" w:lineRule="auto"/>
      </w:pPr>
      <w:r>
        <w:rPr>
          <w:rFonts w:ascii="Arial" w:hAnsi="Arial" w:cs="Arial" w:eastAsia="Arial"/>
          <w:color w:val="0E1E3A"/>
          <w:sz w:val="20"/>
          <w:szCs w:val="20"/>
        </w:rPr>
        <w:t>Sukuk issuances were lower in some GCC countries on account of higher oil prices.</w:t>
      </w:r>
    </w:p>
    <w:p>
      <w:pPr>
        <w:spacing w:before="0" w:after="80" w:line="312" w:lineRule="auto"/>
      </w:pPr>
      <w:r>
        <w:rPr>
          <w:rFonts w:ascii="Arial" w:hAnsi="Arial" w:cs="Arial" w:eastAsia="Arial"/>
          <w:color w:val="0E1E3A"/>
          <w:sz w:val="20"/>
          <w:szCs w:val="20"/>
        </w:rPr>
        <w:t>Sukuk issuances from the GCC, Malaysia and Indonesia declined in the third quarter of 2021, mainly due to the challenges associated with the provision of additional documentation to prove compliance with the Shari’a guidelines and standards, as required by the Accounting and Auditing Organization for Islamic Financial Institutions (AAOIFI).</w:t>
      </w:r>
    </w:p>
    <w:p>
      <w:pPr>
        <w:spacing w:before="0" w:after="80" w:line="312" w:lineRule="auto"/>
      </w:pPr>
      <w:r>
        <w:rPr>
          <w:rFonts w:ascii="Arial" w:hAnsi="Arial" w:cs="Arial" w:eastAsia="Arial"/>
          <w:color w:val="0E1E3A"/>
          <w:sz w:val="20"/>
          <w:szCs w:val="20"/>
        </w:rPr>
        <w:t>Saudi Arabia has become a leading contender in the Sukuk market. The Kingdom’s overall annual issuance volume has increased more than seven folds since 2016, to reach $36.3 billion in 2020 and $32 billion by the end of the first nine months of 2021.</w:t>
      </w:r>
    </w:p>
    <w:p>
      <w:pPr>
        <w:spacing w:before="0" w:after="80" w:line="312" w:lineRule="auto"/>
      </w:pPr>
      <w:r>
        <w:rPr>
          <w:rFonts w:ascii="Arial" w:hAnsi="Arial" w:cs="Arial" w:eastAsia="Arial"/>
          <w:color w:val="0E1E3A"/>
          <w:sz w:val="20"/>
          <w:szCs w:val="20"/>
        </w:rPr>
        <w:t>Refinitiv expects global Sukuk issuances to grow at a 10% CAGR over the next five years, from $178 billion in 2021 to $290 billion in 2026.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2"/>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w:t>
      </w:r>
    </w:p>
    <w:p>
      <w:pPr>
        <w:spacing w:before="0" w:after="80" w:line="240" w:lineRule="auto"/>
        <w:jc w:val="center"/>
      </w:pPr>
      <w:r>
        <w:drawing>
          <wp:inline xmlns:a="http://schemas.openxmlformats.org/drawingml/2006/main" xmlns:pic="http://schemas.openxmlformats.org/drawingml/2006/picture">
            <wp:extent cx="6336000" cy="2730378"/>
            <wp:docPr id="23" name="Picture 9043"/>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73037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44"/>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45"/>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pn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Q4 2021</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