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3"/>
            <wp:cNvGraphicFramePr/>
            <a:graphic>
              <a:graphicData uri="http://schemas.openxmlformats.org/drawingml/2006/picture">
                <pic:pic>
                  <pic:nvPicPr>
                    <pic:cNvPr id="9023" name="banner902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9.9264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521,400,605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الاقتراض *</w:t>
            </w:r>
          </w:p>
        </w:tc>
        <w:tc>
          <w:tcPr>
            <w:tcW w:type="dxa" w:w="6860"/>
          </w:tcPr>
          <w:p>
            <w:pPr>
              <w:bidi w:val="1"/>
              <w:spacing w:before="0" w:after="0" w:line="276" w:lineRule="auto"/>
            </w:pPr>
            <w:r>
              <w:rPr>
                <w:rFonts w:ascii="Arial" w:hAnsi="Arial" w:cs="Arial" w:eastAsia="Arial"/>
                <w:b/>
                <w:bCs/>
                <w:color w:val="0E1E3A"/>
                <w:sz w:val="18"/>
                <w:szCs w:val="18"/>
                <w:rtl/>
              </w:rPr>
              <w:t>48,754,009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‎9.35%‎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‎10.39%‎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2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10 استثمارات للصندوق.</w:t>
      </w:r>
      <w:r>
        <w:br/>
      </w:r>
      <w:r>
        <w:rPr>
          <w:rFonts w:ascii="Arial" w:hAnsi="Arial" w:cs="Arial" w:eastAsia="Arial"/>
          <w:color w:val="5A6478"/>
          <w:sz w:val="17"/>
          <w:szCs w:val="17"/>
          <w:rtl/>
        </w:rPr>
        <w:t>متوسط مدة استثمارات الصندوق 3.4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521,400,605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469,334,101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من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‎0.64%‎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‎0.72%‎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3,361,765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‎0.52%‎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148,454,361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190,889,334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32,766,996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121,115,423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28,174,491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3"/>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ديسمبر2022م)</w:t>
            </w:r>
          </w:p>
        </w:tc>
        <w:tc>
          <w:tcPr>
            <w:tcW w:type="dxa" w:w="6860"/>
          </w:tcPr>
          <w:p>
            <w:pPr>
              <w:bidi w:val="1"/>
              <w:spacing w:before="0" w:after="0" w:line="276" w:lineRule="auto"/>
            </w:pPr>
            <w:r>
              <w:rPr>
                <w:rFonts w:ascii="Arial" w:hAnsi="Arial" w:cs="Arial" w:eastAsia="Arial"/>
                <w:b/>
                <w:bCs/>
                <w:color w:val="0E1E3A"/>
                <w:sz w:val="18"/>
                <w:szCs w:val="18"/>
                <w:rtl/>
              </w:rPr>
              <w:t>5.95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30 سبتمبر 2022م إلى 31 ديسمبر 2022م)*</w:t>
            </w:r>
          </w:p>
        </w:tc>
        <w:tc>
          <w:tcPr>
            <w:tcW w:type="dxa" w:w="6860"/>
          </w:tcPr>
          <w:p>
            <w:pPr>
              <w:bidi w:val="1"/>
              <w:spacing w:before="0" w:after="0" w:line="276" w:lineRule="auto"/>
            </w:pPr>
            <w:r>
              <w:rPr>
                <w:rFonts w:ascii="Arial" w:hAnsi="Arial" w:cs="Arial" w:eastAsia="Arial"/>
                <w:b/>
                <w:bCs/>
                <w:color w:val="0E1E3A"/>
                <w:sz w:val="18"/>
                <w:szCs w:val="18"/>
              </w:rPr>
              <w:t>‎-17.13%‎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2022م)</w:t>
            </w:r>
          </w:p>
        </w:tc>
        <w:tc>
          <w:tcPr>
            <w:tcW w:type="dxa" w:w="6860"/>
          </w:tcPr>
          <w:p>
            <w:pPr>
              <w:bidi w:val="1"/>
              <w:spacing w:before="0" w:after="0" w:line="276" w:lineRule="auto"/>
            </w:pPr>
            <w:r>
              <w:rPr>
                <w:rFonts w:ascii="Arial" w:hAnsi="Arial" w:cs="Arial" w:eastAsia="Arial"/>
                <w:b/>
                <w:bCs/>
                <w:color w:val="0E1E3A"/>
                <w:sz w:val="18"/>
                <w:szCs w:val="18"/>
              </w:rPr>
              <w:t>‎-40.50%‎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8.99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سبتمبر 2022م = 7.18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6"/>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12,293,182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‎3.59%‎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10,475,325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(31 ديسمبر 2022م)</w:t>
            </w:r>
          </w:p>
        </w:tc>
        <w:tc>
          <w:tcPr>
            <w:tcW w:type="dxa" w:w="6860"/>
          </w:tcPr>
          <w:p>
            <w:pPr>
              <w:bidi w:val="1"/>
              <w:spacing w:before="0" w:after="0" w:line="276" w:lineRule="auto"/>
            </w:pPr>
            <w:r>
              <w:rPr>
                <w:rFonts w:ascii="Arial" w:hAnsi="Arial" w:cs="Arial" w:eastAsia="Arial"/>
                <w:b/>
                <w:bCs/>
                <w:color w:val="0E1E3A"/>
                <w:sz w:val="18"/>
                <w:szCs w:val="18"/>
              </w:rPr>
              <w:t>‎3.72%‎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أكتوبر 2022م إلى 31 ديسمبر 2022م.</w:t>
      </w:r>
      <w:r>
        <w:br/>
      </w:r>
      <w:r>
        <w:rPr>
          <w:rFonts w:ascii="Arial" w:hAnsi="Arial" w:cs="Arial" w:eastAsia="Arial"/>
          <w:color w:val="5A6478"/>
          <w:sz w:val="17"/>
          <w:szCs w:val="17"/>
          <w:rtl/>
        </w:rPr>
        <w:t>** من 1 يناير 2022م إلى 30 يونيو 2022م.</w:t>
      </w:r>
      <w:r>
        <w:br/>
      </w:r>
      <w:r>
        <w:rPr>
          <w:rFonts w:ascii="Arial" w:hAnsi="Arial" w:cs="Arial" w:eastAsia="Arial"/>
          <w:color w:val="5A6478"/>
          <w:sz w:val="17"/>
          <w:szCs w:val="17"/>
          <w:rtl/>
        </w:rPr>
        <w:t>*** سعر الوحدة بتاريخ التوزيع 30 يونيو 2022م = 7.24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‎-17.13%‎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‎-40.50%‎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‎-33.60%‎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كما في 30 سبتمبر 2022م = 7.18 ر.س.</w:t>
      </w:r>
      <w:r>
        <w:br/>
      </w:r>
      <w:r>
        <w:rPr>
          <w:rFonts w:ascii="Arial" w:hAnsi="Arial" w:cs="Arial" w:eastAsia="Arial"/>
          <w:color w:val="5A6478"/>
          <w:sz w:val="17"/>
          <w:szCs w:val="17"/>
          <w:rtl/>
        </w:rPr>
        <w:t>** من تاريخ بدء الصندوق إلى نهاية الربع الرابع من العام 2022م.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(الليبور- LIBOR)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9.7756</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9.9264</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‎1.54%‎</w:t>
            </w:r>
          </w:p>
        </w:tc>
        <w:tc>
          <w:tcPr>
            <w:tcW w:type="dxa" w:w="3326"/>
          </w:tcPr>
          <w:p>
            <w:pPr>
              <w:bidi w:val="1"/>
              <w:spacing w:before="0" w:after="0" w:line="264" w:lineRule="auto"/>
            </w:pPr>
            <w:r>
              <w:rPr>
                <w:rFonts w:ascii="Arial" w:hAnsi="Arial" w:cs="Arial" w:eastAsia="Arial"/>
                <w:color w:val="0E1E3A"/>
                <w:sz w:val="17"/>
                <w:szCs w:val="17"/>
              </w:rPr>
              <w:t>‎2.05%‎</w:t>
            </w:r>
            <w:r>
              <w:rPr>
                <w:rFonts w:ascii="Arial" w:hAnsi="Arial" w:cs="Arial" w:eastAsia="Arial"/>
                <w:color w:val="0E1E3A"/>
                <w:sz w:val="17"/>
                <w:szCs w:val="17"/>
                <w:rtl/>
              </w:rPr>
              <w:t>***</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2022م.</w:t>
      </w:r>
      <w:r>
        <w:br/>
      </w:r>
      <w:r>
        <w:rPr>
          <w:rFonts w:ascii="Arial" w:hAnsi="Arial" w:cs="Arial" w:eastAsia="Arial"/>
          <w:color w:val="5A6478"/>
          <w:sz w:val="17"/>
          <w:szCs w:val="17"/>
          <w:rtl/>
        </w:rPr>
        <w:t>** كما في تاريخ 31 ديسمبر 2022م.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‎8.41%‎</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‎2.05%‎</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العائد الكلي لصافي قيمة الوحدة "أداء الصندوق"</w:t>
            </w:r>
          </w:p>
        </w:tc>
        <w:tc>
          <w:tcPr>
            <w:tcW w:type="dxa" w:w="2494"/>
          </w:tcPr>
          <w:p>
            <w:pPr>
              <w:bidi w:val="1"/>
              <w:spacing w:before="0" w:after="0" w:line="264" w:lineRule="auto"/>
            </w:pPr>
            <w:r>
              <w:rPr>
                <w:rFonts w:ascii="Arial" w:hAnsi="Arial" w:cs="Arial" w:eastAsia="Arial"/>
                <w:color w:val="0E1E3A"/>
                <w:sz w:val="17"/>
                <w:szCs w:val="17"/>
              </w:rPr>
              <w:t>‎1.54%‎</w:t>
            </w:r>
            <w:r>
              <w:rPr>
                <w:rFonts w:ascii="Arial" w:hAnsi="Arial" w:cs="Arial" w:eastAsia="Arial"/>
                <w:color w:val="0E1E3A"/>
                <w:sz w:val="17"/>
                <w:szCs w:val="17"/>
                <w:rtl/>
              </w:rPr>
              <w:t>*</w:t>
            </w:r>
          </w:p>
        </w:tc>
        <w:tc>
          <w:tcPr>
            <w:tcW w:type="dxa" w:w="2494"/>
          </w:tcPr>
          <w:p>
            <w:pPr>
              <w:bidi w:val="1"/>
              <w:spacing w:before="0" w:after="0" w:line="264" w:lineRule="auto"/>
            </w:pPr>
            <w:r>
              <w:rPr>
                <w:rFonts w:ascii="Arial" w:hAnsi="Arial" w:cs="Arial" w:eastAsia="Arial"/>
                <w:color w:val="0E1E3A"/>
                <w:sz w:val="17"/>
                <w:szCs w:val="17"/>
              </w:rPr>
              <w:t>‎1.86%‎</w:t>
            </w:r>
            <w:r>
              <w:rPr>
                <w:rFonts w:ascii="Arial" w:hAnsi="Arial" w:cs="Arial" w:eastAsia="Arial"/>
                <w:color w:val="0E1E3A"/>
                <w:sz w:val="17"/>
                <w:szCs w:val="17"/>
                <w:rtl/>
              </w:rPr>
              <w:t>**</w:t>
            </w:r>
          </w:p>
        </w:tc>
        <w:tc>
          <w:tcPr>
            <w:tcW w:type="dxa" w:w="2494"/>
          </w:tcPr>
          <w:p>
            <w:pPr>
              <w:bidi w:val="1"/>
              <w:spacing w:before="0" w:after="0" w:line="264" w:lineRule="auto"/>
            </w:pPr>
            <w:r>
              <w:rPr>
                <w:rFonts w:ascii="Arial" w:hAnsi="Arial" w:cs="Arial" w:eastAsia="Arial"/>
                <w:color w:val="0E1E3A"/>
                <w:sz w:val="17"/>
                <w:szCs w:val="17"/>
              </w:rPr>
              <w:t>‎1.86%‎</w:t>
            </w:r>
            <w:r>
              <w:rPr>
                <w:rFonts w:ascii="Arial" w:hAnsi="Arial" w:cs="Arial" w:eastAsia="Arial"/>
                <w:color w:val="0E1E3A"/>
                <w:sz w:val="17"/>
                <w:szCs w:val="17"/>
                <w:rtl/>
              </w:rPr>
              <w:t>***</w:t>
            </w:r>
          </w:p>
        </w:tc>
      </w:tr>
      <w:tr>
        <w:tc>
          <w:tcPr>
            <w:tcW w:type="dxa" w:w="2494"/>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2494"/>
          </w:tcPr>
          <w:p>
            <w:pPr>
              <w:bidi w:val="1"/>
              <w:spacing w:before="0" w:after="0" w:line="264" w:lineRule="auto"/>
            </w:pPr>
            <w:r>
              <w:rPr>
                <w:rFonts w:ascii="Arial" w:hAnsi="Arial" w:cs="Arial" w:eastAsia="Arial"/>
                <w:color w:val="0E1E3A"/>
                <w:sz w:val="17"/>
                <w:szCs w:val="17"/>
              </w:rPr>
              <w:t>‎2.05%‎</w:t>
            </w:r>
          </w:p>
        </w:tc>
        <w:tc>
          <w:tcPr>
            <w:tcW w:type="dxa" w:w="2494"/>
          </w:tcPr>
          <w:p>
            <w:pPr>
              <w:bidi w:val="1"/>
              <w:spacing w:before="0" w:after="0" w:line="264" w:lineRule="auto"/>
            </w:pPr>
            <w:r>
              <w:rPr>
                <w:rFonts w:ascii="Arial" w:hAnsi="Arial" w:cs="Arial" w:eastAsia="Arial"/>
                <w:color w:val="0E1E3A"/>
                <w:sz w:val="17"/>
                <w:szCs w:val="17"/>
              </w:rPr>
              <w:t>‎6.42%‎</w:t>
            </w:r>
          </w:p>
        </w:tc>
        <w:tc>
          <w:tcPr>
            <w:tcW w:type="dxa" w:w="2494"/>
          </w:tcPr>
          <w:p>
            <w:pPr>
              <w:bidi w:val="1"/>
              <w:spacing w:before="0" w:after="0" w:line="264" w:lineRule="auto"/>
            </w:pPr>
            <w:r>
              <w:rPr>
                <w:rFonts w:ascii="Arial" w:hAnsi="Arial" w:cs="Arial" w:eastAsia="Arial"/>
                <w:color w:val="0E1E3A"/>
                <w:sz w:val="17"/>
                <w:szCs w:val="17"/>
              </w:rPr>
              <w:t>‎6.42%‎</w:t>
            </w:r>
          </w:p>
        </w:tc>
      </w:tr>
      <w:tr>
        <w:tc>
          <w:tcPr>
            <w:tcW w:type="dxa" w:w="2494"/>
          </w:tcPr>
          <w:p>
            <w:pPr>
              <w:bidi w:val="1"/>
              <w:spacing w:before="0" w:after="0" w:line="264" w:lineRule="auto"/>
            </w:pPr>
            <w:r>
              <w:rPr>
                <w:rFonts w:ascii="Arial" w:hAnsi="Arial" w:cs="Arial" w:eastAsia="Arial"/>
                <w:color w:val="0E1E3A"/>
                <w:sz w:val="17"/>
                <w:szCs w:val="17"/>
                <w:rtl/>
              </w:rPr>
              <w:t>فارق الأداء</w:t>
            </w:r>
          </w:p>
        </w:tc>
        <w:tc>
          <w:tcPr>
            <w:tcW w:type="dxa" w:w="2494"/>
          </w:tcPr>
          <w:p>
            <w:pPr>
              <w:bidi w:val="1"/>
              <w:spacing w:before="0" w:after="0" w:line="264" w:lineRule="auto"/>
            </w:pPr>
            <w:r>
              <w:rPr>
                <w:rFonts w:ascii="Arial" w:hAnsi="Arial" w:cs="Arial" w:eastAsia="Arial"/>
                <w:color w:val="0E1E3A"/>
                <w:sz w:val="17"/>
                <w:szCs w:val="17"/>
              </w:rPr>
              <w:t>‎-0.51%‎</w:t>
            </w:r>
          </w:p>
        </w:tc>
        <w:tc>
          <w:tcPr>
            <w:tcW w:type="dxa" w:w="2494"/>
          </w:tcPr>
          <w:p>
            <w:pPr>
              <w:bidi w:val="1"/>
              <w:spacing w:before="0" w:after="0" w:line="264" w:lineRule="auto"/>
            </w:pPr>
            <w:r>
              <w:rPr>
                <w:rFonts w:ascii="Arial" w:hAnsi="Arial" w:cs="Arial" w:eastAsia="Arial"/>
                <w:color w:val="0E1E3A"/>
                <w:sz w:val="17"/>
                <w:szCs w:val="17"/>
              </w:rPr>
              <w:t>‎-4.56%‎</w:t>
            </w:r>
          </w:p>
        </w:tc>
        <w:tc>
          <w:tcPr>
            <w:tcW w:type="dxa" w:w="2494"/>
          </w:tcPr>
          <w:p>
            <w:pPr>
              <w:bidi w:val="1"/>
              <w:spacing w:before="0" w:after="0" w:line="264" w:lineRule="auto"/>
            </w:pPr>
            <w:r>
              <w:rPr>
                <w:rFonts w:ascii="Arial" w:hAnsi="Arial" w:cs="Arial" w:eastAsia="Arial"/>
                <w:color w:val="0E1E3A"/>
                <w:sz w:val="17"/>
                <w:szCs w:val="17"/>
              </w:rPr>
              <w:t>‎-4.56%‎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أكتوبر 2022م إلى 31 ديسمبر 2022م.</w:t>
      </w:r>
      <w:r>
        <w:br/>
      </w:r>
      <w:r>
        <w:rPr>
          <w:rFonts w:ascii="Arial" w:hAnsi="Arial" w:cs="Arial" w:eastAsia="Arial"/>
          <w:color w:val="5A6478"/>
          <w:sz w:val="17"/>
          <w:szCs w:val="17"/>
          <w:rtl/>
        </w:rPr>
        <w:t xml:space="preserve">** عن الفترة من 1 يناير 2022م إلى 31 ديسمبر 2022م متضمنة التوزيعات النقدية بنسبة </w:t>
      </w:r>
      <w:r>
        <w:rPr>
          <w:rFonts w:ascii="Arial" w:hAnsi="Arial" w:cs="Arial" w:eastAsia="Arial"/>
          <w:color w:val="5A6478"/>
          <w:sz w:val="17"/>
          <w:szCs w:val="17"/>
        </w:rPr>
        <w:t>‎5.1%‎</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1 يناير 2022م إلى 31 ديسمبر 2022م متضمنة توزيعات نقدية بنسبة </w:t>
      </w:r>
      <w:r>
        <w:rPr>
          <w:rFonts w:ascii="Arial" w:hAnsi="Arial" w:cs="Arial" w:eastAsia="Arial"/>
          <w:color w:val="5A6478"/>
          <w:sz w:val="17"/>
          <w:szCs w:val="17"/>
        </w:rPr>
        <w:t>‎5.1%‎</w:t>
      </w:r>
      <w:r>
        <w:rPr>
          <w:rFonts w:ascii="Arial" w:hAnsi="Arial" w:cs="Arial" w:eastAsia="Arial"/>
          <w:color w:val="5A6478"/>
          <w:sz w:val="17"/>
          <w:szCs w:val="17"/>
          <w:rtl/>
        </w:rPr>
        <w:t xml:space="preserve"> (صافي قيمة الوحدة 31 ديسمبر 2021م = 10.2462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r>
              <w:rPr>
                <w:rFonts w:ascii="Arial" w:hAnsi="Arial" w:cs="Arial" w:eastAsia="Arial"/>
                <w:b/>
                <w:bCs/>
                <w:color w:val="FFFFFF"/>
                <w:sz w:val="17"/>
                <w:szCs w:val="17"/>
                <w:rtl/>
              </w:rPr>
              <w:t>2</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r>
              <w:rPr>
                <w:rFonts w:ascii="Arial" w:hAnsi="Arial" w:cs="Arial" w:eastAsia="Arial"/>
                <w:b/>
                <w:bCs/>
                <w:color w:val="FFFFFF"/>
                <w:sz w:val="17"/>
                <w:szCs w:val="17"/>
                <w:rtl/>
              </w:rPr>
              <w:t>3</w:t>
            </w:r>
          </w:p>
        </w:tc>
      </w:tr>
      <w:tr>
        <w:tc>
          <w:tcPr>
            <w:tcW w:type="dxa" w:w="2494"/>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4</w:t>
            </w:r>
          </w:p>
        </w:tc>
        <w:tc>
          <w:tcPr>
            <w:tcW w:type="dxa" w:w="2494"/>
          </w:tcPr>
          <w:p>
            <w:pPr>
              <w:bidi w:val="1"/>
              <w:spacing w:before="0" w:after="0" w:line="264" w:lineRule="auto"/>
            </w:pPr>
            <w:r>
              <w:rPr>
                <w:rFonts w:ascii="Arial" w:hAnsi="Arial" w:cs="Arial" w:eastAsia="Arial"/>
                <w:color w:val="0E1E3A"/>
                <w:sz w:val="17"/>
                <w:szCs w:val="17"/>
                <w:rtl/>
              </w:rPr>
              <w:t>2.51</w:t>
            </w:r>
          </w:p>
        </w:tc>
        <w:tc>
          <w:tcPr>
            <w:tcW w:type="dxa" w:w="2494"/>
          </w:tcPr>
          <w:p>
            <w:pPr>
              <w:bidi w:val="1"/>
              <w:spacing w:before="0" w:after="0" w:line="264" w:lineRule="auto"/>
            </w:pPr>
            <w:r>
              <w:rPr>
                <w:rFonts w:ascii="Arial" w:hAnsi="Arial" w:cs="Arial" w:eastAsia="Arial"/>
                <w:color w:val="0E1E3A"/>
                <w:sz w:val="17"/>
                <w:szCs w:val="17"/>
                <w:rtl/>
              </w:rPr>
              <w:t>9.22</w:t>
            </w:r>
          </w:p>
        </w:tc>
        <w:tc>
          <w:tcPr>
            <w:tcW w:type="dxa" w:w="2494"/>
          </w:tcPr>
          <w:p>
            <w:pPr>
              <w:bidi w:val="1"/>
              <w:spacing w:before="0" w:after="0" w:line="264" w:lineRule="auto"/>
            </w:pPr>
            <w:r>
              <w:rPr>
                <w:rFonts w:ascii="Arial" w:hAnsi="Arial" w:cs="Arial" w:eastAsia="Arial"/>
                <w:color w:val="0E1E3A"/>
                <w:sz w:val="17"/>
                <w:szCs w:val="17"/>
                <w:rtl/>
              </w:rPr>
              <w:t>9.22</w:t>
            </w:r>
          </w:p>
        </w:tc>
      </w:tr>
      <w:tr>
        <w:tc>
          <w:tcPr>
            <w:tcW w:type="dxa" w:w="2494"/>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5</w:t>
            </w:r>
          </w:p>
        </w:tc>
        <w:tc>
          <w:tcPr>
            <w:tcW w:type="dxa" w:w="2494"/>
          </w:tcPr>
          <w:p>
            <w:pPr>
              <w:bidi w:val="1"/>
              <w:spacing w:before="0" w:after="0" w:line="264" w:lineRule="auto"/>
            </w:pPr>
            <w:r>
              <w:rPr>
                <w:rFonts w:ascii="Arial" w:hAnsi="Arial" w:cs="Arial" w:eastAsia="Arial"/>
                <w:color w:val="0E1E3A"/>
                <w:sz w:val="17"/>
                <w:szCs w:val="17"/>
                <w:rtl/>
              </w:rPr>
              <w:t>-13.25</w:t>
            </w:r>
          </w:p>
        </w:tc>
        <w:tc>
          <w:tcPr>
            <w:tcW w:type="dxa" w:w="2494"/>
          </w:tcPr>
          <w:p>
            <w:pPr>
              <w:bidi w:val="1"/>
              <w:spacing w:before="0" w:after="0" w:line="264" w:lineRule="auto"/>
            </w:pPr>
            <w:r>
              <w:rPr>
                <w:rFonts w:ascii="Arial" w:hAnsi="Arial" w:cs="Arial" w:eastAsia="Arial"/>
                <w:color w:val="0E1E3A"/>
                <w:sz w:val="17"/>
                <w:szCs w:val="17"/>
                <w:rtl/>
              </w:rPr>
              <w:t>-2.41</w:t>
            </w:r>
          </w:p>
        </w:tc>
        <w:tc>
          <w:tcPr>
            <w:tcW w:type="dxa" w:w="2494"/>
          </w:tcPr>
          <w:p>
            <w:pPr>
              <w:bidi w:val="1"/>
              <w:spacing w:before="0" w:after="0" w:line="264" w:lineRule="auto"/>
            </w:pPr>
            <w:r>
              <w:rPr>
                <w:rFonts w:ascii="Arial" w:hAnsi="Arial" w:cs="Arial" w:eastAsia="Arial"/>
                <w:color w:val="0E1E3A"/>
                <w:sz w:val="17"/>
                <w:szCs w:val="17"/>
                <w:rtl/>
              </w:rPr>
              <w:t>-2.41</w:t>
            </w:r>
          </w:p>
        </w:tc>
      </w:tr>
      <w:tr>
        <w:tc>
          <w:tcPr>
            <w:tcW w:type="dxa" w:w="2494"/>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6</w:t>
            </w:r>
          </w:p>
        </w:tc>
        <w:tc>
          <w:tcPr>
            <w:tcW w:type="dxa" w:w="2494"/>
          </w:tcPr>
          <w:p>
            <w:pPr>
              <w:bidi w:val="1"/>
              <w:spacing w:before="0" w:after="0" w:line="264" w:lineRule="auto"/>
            </w:pPr>
            <w:r>
              <w:rPr>
                <w:rFonts w:ascii="Arial" w:hAnsi="Arial" w:cs="Arial" w:eastAsia="Arial"/>
                <w:color w:val="0E1E3A"/>
                <w:sz w:val="17"/>
                <w:szCs w:val="17"/>
                <w:rtl/>
              </w:rPr>
              <w:t>2.52</w:t>
            </w:r>
          </w:p>
        </w:tc>
        <w:tc>
          <w:tcPr>
            <w:tcW w:type="dxa" w:w="2494"/>
          </w:tcPr>
          <w:p>
            <w:pPr>
              <w:bidi w:val="1"/>
              <w:spacing w:before="0" w:after="0" w:line="264" w:lineRule="auto"/>
            </w:pPr>
            <w:r>
              <w:rPr>
                <w:rFonts w:ascii="Arial" w:hAnsi="Arial" w:cs="Arial" w:eastAsia="Arial"/>
                <w:color w:val="0E1E3A"/>
                <w:sz w:val="17"/>
                <w:szCs w:val="17"/>
                <w:rtl/>
              </w:rPr>
              <w:t>9.27</w:t>
            </w:r>
          </w:p>
        </w:tc>
        <w:tc>
          <w:tcPr>
            <w:tcW w:type="dxa" w:w="2494"/>
          </w:tcPr>
          <w:p>
            <w:pPr>
              <w:bidi w:val="1"/>
              <w:spacing w:before="0" w:after="0" w:line="264" w:lineRule="auto"/>
            </w:pPr>
            <w:r>
              <w:rPr>
                <w:rFonts w:ascii="Arial" w:hAnsi="Arial" w:cs="Arial" w:eastAsia="Arial"/>
                <w:color w:val="0E1E3A"/>
                <w:sz w:val="17"/>
                <w:szCs w:val="17"/>
                <w:rtl/>
              </w:rPr>
              <w:t>9.27</w:t>
            </w:r>
          </w:p>
        </w:tc>
      </w:tr>
      <w:tr>
        <w:tc>
          <w:tcPr>
            <w:tcW w:type="dxa" w:w="2494"/>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7</w:t>
            </w:r>
          </w:p>
        </w:tc>
        <w:tc>
          <w:tcPr>
            <w:tcW w:type="dxa" w:w="2494"/>
          </w:tcPr>
          <w:p>
            <w:pPr>
              <w:bidi w:val="1"/>
              <w:spacing w:before="0" w:after="0" w:line="264" w:lineRule="auto"/>
            </w:pPr>
            <w:r>
              <w:rPr>
                <w:rFonts w:ascii="Arial" w:hAnsi="Arial" w:cs="Arial" w:eastAsia="Arial"/>
                <w:color w:val="0E1E3A"/>
                <w:sz w:val="17"/>
                <w:szCs w:val="17"/>
                <w:rtl/>
              </w:rPr>
              <w:t>(24.32)</w:t>
            </w:r>
          </w:p>
        </w:tc>
        <w:tc>
          <w:tcPr>
            <w:tcW w:type="dxa" w:w="2494"/>
          </w:tcPr>
          <w:p>
            <w:pPr>
              <w:bidi w:val="1"/>
              <w:spacing w:before="0" w:after="0" w:line="264" w:lineRule="auto"/>
            </w:pPr>
            <w:r>
              <w:rPr>
                <w:rFonts w:ascii="Arial" w:hAnsi="Arial" w:cs="Arial" w:eastAsia="Arial"/>
                <w:color w:val="0E1E3A"/>
                <w:sz w:val="17"/>
                <w:szCs w:val="17"/>
                <w:rtl/>
              </w:rPr>
              <w:t>(4.92)</w:t>
            </w:r>
          </w:p>
        </w:tc>
        <w:tc>
          <w:tcPr>
            <w:tcW w:type="dxa" w:w="2494"/>
          </w:tcPr>
          <w:p>
            <w:pPr>
              <w:bidi w:val="1"/>
              <w:spacing w:before="0" w:after="0" w:line="264" w:lineRule="auto"/>
            </w:pPr>
            <w:r>
              <w:rPr>
                <w:rFonts w:ascii="Arial" w:hAnsi="Arial" w:cs="Arial" w:eastAsia="Arial"/>
                <w:color w:val="0E1E3A"/>
                <w:sz w:val="17"/>
                <w:szCs w:val="17"/>
                <w:rtl/>
              </w:rPr>
              <w:t>(4.92)</w:t>
            </w:r>
          </w:p>
        </w:tc>
      </w:tr>
      <w:tr>
        <w:tc>
          <w:tcPr>
            <w:tcW w:type="dxa" w:w="2494"/>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8</w:t>
            </w:r>
          </w:p>
        </w:tc>
        <w:tc>
          <w:tcPr>
            <w:tcW w:type="dxa" w:w="2494"/>
          </w:tcPr>
          <w:p>
            <w:pPr>
              <w:bidi w:val="1"/>
              <w:spacing w:before="0" w:after="0" w:line="264" w:lineRule="auto"/>
            </w:pPr>
            <w:r>
              <w:rPr>
                <w:rFonts w:ascii="Arial" w:hAnsi="Arial" w:cs="Arial" w:eastAsia="Arial"/>
                <w:color w:val="0E1E3A"/>
                <w:sz w:val="17"/>
                <w:szCs w:val="17"/>
                <w:rtl/>
              </w:rPr>
              <w:t>-42.05</w:t>
            </w:r>
          </w:p>
        </w:tc>
        <w:tc>
          <w:tcPr>
            <w:tcW w:type="dxa" w:w="2494"/>
          </w:tcPr>
          <w:p>
            <w:pPr>
              <w:bidi w:val="1"/>
              <w:spacing w:before="0" w:after="0" w:line="264" w:lineRule="auto"/>
            </w:pPr>
            <w:r>
              <w:rPr>
                <w:rFonts w:ascii="Arial" w:hAnsi="Arial" w:cs="Arial" w:eastAsia="Arial"/>
                <w:color w:val="0E1E3A"/>
                <w:sz w:val="17"/>
                <w:szCs w:val="17"/>
                <w:rtl/>
              </w:rPr>
              <w:t>-28.49</w:t>
            </w:r>
          </w:p>
        </w:tc>
        <w:tc>
          <w:tcPr>
            <w:tcW w:type="dxa" w:w="2494"/>
          </w:tcPr>
          <w:p>
            <w:pPr>
              <w:bidi w:val="1"/>
              <w:spacing w:before="0" w:after="0" w:line="264" w:lineRule="auto"/>
            </w:pPr>
            <w:r>
              <w:rPr>
                <w:rFonts w:ascii="Arial" w:hAnsi="Arial" w:cs="Arial" w:eastAsia="Arial"/>
                <w:color w:val="0E1E3A"/>
                <w:sz w:val="17"/>
                <w:szCs w:val="17"/>
                <w:rtl/>
              </w:rPr>
              <w:t>-28.49</w:t>
            </w:r>
          </w:p>
        </w:tc>
      </w:tr>
      <w:tr>
        <w:tc>
          <w:tcPr>
            <w:tcW w:type="dxa" w:w="2494"/>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9</w:t>
            </w:r>
          </w:p>
        </w:tc>
        <w:tc>
          <w:tcPr>
            <w:tcW w:type="dxa" w:w="2494"/>
          </w:tcPr>
          <w:p>
            <w:pPr>
              <w:bidi w:val="1"/>
              <w:spacing w:before="0" w:after="0" w:line="264" w:lineRule="auto"/>
            </w:pPr>
            <w:r>
              <w:rPr>
                <w:rFonts w:ascii="Arial" w:hAnsi="Arial" w:cs="Arial" w:eastAsia="Arial"/>
                <w:color w:val="0E1E3A"/>
                <w:sz w:val="17"/>
                <w:szCs w:val="17"/>
                <w:rtl/>
              </w:rPr>
              <w:t>-16.71</w:t>
            </w:r>
          </w:p>
        </w:tc>
        <w:tc>
          <w:tcPr>
            <w:tcW w:type="dxa" w:w="2494"/>
          </w:tcPr>
          <w:p>
            <w:pPr>
              <w:bidi w:val="1"/>
              <w:spacing w:before="0" w:after="0" w:line="264" w:lineRule="auto"/>
            </w:pPr>
            <w:r>
              <w:rPr>
                <w:rFonts w:ascii="Arial" w:hAnsi="Arial" w:cs="Arial" w:eastAsia="Arial"/>
                <w:color w:val="0E1E3A"/>
                <w:sz w:val="17"/>
                <w:szCs w:val="17"/>
                <w:rtl/>
              </w:rPr>
              <w:t>-3.07</w:t>
            </w:r>
          </w:p>
        </w:tc>
        <w:tc>
          <w:tcPr>
            <w:tcW w:type="dxa" w:w="2494"/>
          </w:tcPr>
          <w:p>
            <w:pPr>
              <w:bidi w:val="1"/>
              <w:spacing w:before="0" w:after="0" w:line="264" w:lineRule="auto"/>
            </w:pPr>
            <w:r>
              <w:rPr>
                <w:rFonts w:ascii="Arial" w:hAnsi="Arial" w:cs="Arial" w:eastAsia="Arial"/>
                <w:color w:val="0E1E3A"/>
                <w:sz w:val="17"/>
                <w:szCs w:val="17"/>
                <w:rtl/>
              </w:rPr>
              <w:t>-3.07</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1 أكتوبر 2022م إلى 31 ديسمبر 2022م.</w:t>
      </w:r>
      <w:r>
        <w:br/>
      </w:r>
      <w:r>
        <w:rPr>
          <w:rFonts w:ascii="Arial" w:hAnsi="Arial" w:cs="Arial" w:eastAsia="Arial"/>
          <w:color w:val="5A6478"/>
          <w:sz w:val="17"/>
          <w:szCs w:val="17"/>
          <w:rtl/>
        </w:rPr>
        <w:t>2. عن الفترة من 1 يناير 2022م إلى 31 ديسمبر 2022م.</w:t>
      </w:r>
      <w:r>
        <w:br/>
      </w:r>
      <w:r>
        <w:rPr>
          <w:rFonts w:ascii="Arial" w:hAnsi="Arial" w:cs="Arial" w:eastAsia="Arial"/>
          <w:color w:val="5A6478"/>
          <w:sz w:val="17"/>
          <w:szCs w:val="17"/>
          <w:rtl/>
        </w:rPr>
        <w:t>3. عن الفترة من 1 يناير 2022م إلى 31 ديسمبر 2022م.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3"/>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يوجد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لمؤشر الثقة الشهري في ديسمبر 2022م لصناعة تمويل المعدات (ام سي اف- اي اف اي) الذي نشرته مؤسسة تأجير المعدات والتمويل (اي ال اف اف)، فإن المؤشر العام للثقة في سوق تمويل المعدات هو 45.9، بزيادة عن مؤشر نوفمبر الذي كان عند 43.7. تشير نتائج الاستطلاع إلى أن </w:t>
      </w:r>
      <w:r>
        <w:rPr>
          <w:rFonts w:ascii="Arial" w:hAnsi="Arial" w:cs="Arial" w:eastAsia="Arial"/>
          <w:color w:val="0E1E3A"/>
          <w:sz w:val="20"/>
          <w:szCs w:val="20"/>
        </w:rPr>
        <w:t>‎55.6%‎</w:t>
      </w:r>
      <w:r>
        <w:rPr>
          <w:rFonts w:ascii="Arial" w:hAnsi="Arial" w:cs="Arial" w:eastAsia="Arial"/>
          <w:color w:val="0E1E3A"/>
          <w:sz w:val="20"/>
          <w:szCs w:val="20"/>
          <w:rtl/>
        </w:rPr>
        <w:t xml:space="preserve"> من المستجيبين يعتقدون أن ظروف العمل ستبقى على حالها خلال الأشهر الأربعة المقبلة، بارتفاع من </w:t>
      </w:r>
      <w:r>
        <w:rPr>
          <w:rFonts w:ascii="Arial" w:hAnsi="Arial" w:cs="Arial" w:eastAsia="Arial"/>
          <w:color w:val="0E1E3A"/>
          <w:sz w:val="20"/>
          <w:szCs w:val="20"/>
        </w:rPr>
        <w:t>‎46.4%‎</w:t>
      </w:r>
      <w:r>
        <w:rPr>
          <w:rFonts w:ascii="Arial" w:hAnsi="Arial" w:cs="Arial" w:eastAsia="Arial"/>
          <w:color w:val="0E1E3A"/>
          <w:sz w:val="20"/>
          <w:szCs w:val="20"/>
          <w:rtl/>
        </w:rPr>
        <w:t xml:space="preserve"> في الشهر السابق. يعتقد </w:t>
      </w:r>
      <w:r>
        <w:rPr>
          <w:rFonts w:ascii="Arial" w:hAnsi="Arial" w:cs="Arial" w:eastAsia="Arial"/>
          <w:color w:val="0E1E3A"/>
          <w:sz w:val="20"/>
          <w:szCs w:val="20"/>
        </w:rPr>
        <w:t>‎40.7%‎</w:t>
      </w:r>
      <w:r>
        <w:rPr>
          <w:rFonts w:ascii="Arial" w:hAnsi="Arial" w:cs="Arial" w:eastAsia="Arial"/>
          <w:color w:val="0E1E3A"/>
          <w:sz w:val="20"/>
          <w:szCs w:val="20"/>
          <w:rtl/>
        </w:rPr>
        <w:t xml:space="preserve"> أن ظروف العمل ستزداد سوءًا، بانخفاض عن </w:t>
      </w:r>
      <w:r>
        <w:rPr>
          <w:rFonts w:ascii="Arial" w:hAnsi="Arial" w:cs="Arial" w:eastAsia="Arial"/>
          <w:color w:val="0E1E3A"/>
          <w:sz w:val="20"/>
          <w:szCs w:val="20"/>
        </w:rPr>
        <w:t>‎53.6%‎</w:t>
      </w:r>
      <w:r>
        <w:rPr>
          <w:rFonts w:ascii="Arial" w:hAnsi="Arial" w:cs="Arial" w:eastAsia="Arial"/>
          <w:color w:val="0E1E3A"/>
          <w:sz w:val="20"/>
          <w:szCs w:val="20"/>
          <w:rtl/>
        </w:rPr>
        <w:t xml:space="preserve"> في نوفمبر.</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كشف مؤشر التأجير والتمويل الشهري (ام ال اف اي-25) الذي نشرته جمعية تأجير المعدات والتمويل (اي ال اف اي)، والذي يتتبع النشاط الاقتصادي في 25 شركة عبر قطاع تمويل المعدات التي تبلغ قيمتها 1 تريليون دولار أمريكي، أن حجم الأعمال الجديدة لشهر نوفمبر بلغ 8.6 مليار دولار أمريكي، بزيادة </w:t>
      </w:r>
      <w:r>
        <w:rPr>
          <w:rFonts w:ascii="Arial" w:hAnsi="Arial" w:cs="Arial" w:eastAsia="Arial"/>
          <w:color w:val="0E1E3A"/>
          <w:sz w:val="20"/>
          <w:szCs w:val="20"/>
        </w:rPr>
        <w:t>‎9%‎</w:t>
      </w:r>
      <w:r>
        <w:rPr>
          <w:rFonts w:ascii="Arial" w:hAnsi="Arial" w:cs="Arial" w:eastAsia="Arial"/>
          <w:color w:val="0E1E3A"/>
          <w:sz w:val="20"/>
          <w:szCs w:val="20"/>
          <w:rtl/>
        </w:rPr>
        <w:t xml:space="preserve"> على أساس سنوي من حجم الأعمال الجديدة في نوفمبر 2021م. وحتى تاريخه ارتفع حجم الأعمال التراكمية الجديدة بنسبة </w:t>
      </w:r>
      <w:r>
        <w:rPr>
          <w:rFonts w:ascii="Arial" w:hAnsi="Arial" w:cs="Arial" w:eastAsia="Arial"/>
          <w:color w:val="0E1E3A"/>
          <w:sz w:val="20"/>
          <w:szCs w:val="20"/>
        </w:rPr>
        <w:t>‎6%‎</w:t>
      </w:r>
      <w:r>
        <w:rPr>
          <w:rFonts w:ascii="Arial" w:hAnsi="Arial" w:cs="Arial" w:eastAsia="Arial"/>
          <w:color w:val="0E1E3A"/>
          <w:sz w:val="20"/>
          <w:szCs w:val="20"/>
          <w:rtl/>
        </w:rPr>
        <w:t xml:space="preserve"> مقارنة بعام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لـ (اي ال اف)، ازدهر التوسع في استثمارات المعدات والبرمجيات في النصف الثاني من عام 2022م، ليكون بمثابة نقطة انطلاق قوية لعام 2023م والذي من المتوقع أن يكون عامًا أكثر صعوبة بالنسبة للاقتصاد والصناعة. وفي الوقت نفسه، ارتفع الاستثمار في المعدات والبرمجيات بنسبة </w:t>
      </w:r>
      <w:r>
        <w:rPr>
          <w:rFonts w:ascii="Arial" w:hAnsi="Arial" w:cs="Arial" w:eastAsia="Arial"/>
          <w:color w:val="0E1E3A"/>
          <w:sz w:val="20"/>
          <w:szCs w:val="20"/>
        </w:rPr>
        <w:t>‎12%‎</w:t>
      </w:r>
      <w:r>
        <w:rPr>
          <w:rFonts w:ascii="Arial" w:hAnsi="Arial" w:cs="Arial" w:eastAsia="Arial"/>
          <w:color w:val="0E1E3A"/>
          <w:sz w:val="20"/>
          <w:szCs w:val="20"/>
          <w:rtl/>
        </w:rPr>
        <w:t xml:space="preserve"> (على أساس سنوي) في الربع الثالث من عام 2022م، وهو انتعاش ملحوظ بعد النمو الضعيف في الربع الثاني.</w:t>
      </w:r>
    </w:p>
    <w:p>
      <w:pPr>
        <w:pStyle w:val="Heading3"/>
        <w:keepNext/>
        <w:bidi w:val="1"/>
        <w:spacing w:before="160" w:after="100" w:line="300" w:lineRule="auto"/>
      </w:pPr>
      <w:r>
        <w:rPr>
          <w:rFonts w:ascii="Arial" w:hAnsi="Arial" w:cs="Arial" w:eastAsia="Arial"/>
          <w:b/>
          <w:bCs/>
          <w:color w:val="12284B"/>
          <w:sz w:val="22"/>
          <w:szCs w:val="22"/>
          <w:rtl/>
        </w:rPr>
        <w:t>نظرة على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أفاد مؤتمر الأمم المتحدة للتجارة والتنمية (الأونكتاد) أن حجم التجارة قد ازداد خلال عام 2022م، وهو ما يعد علامة على صلابة الطلب العالمي.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وفقًا لبنك التنمية الآسيوي (اي دي بي)، ظلت فجوة صفقات التمويل التجاري العالمية كبيرة بشكل مستمر لمدة عشر سنوات على الأقل ويُقدر أنها ارتفعت إلى 1.7 تريليون دولار أمريكي في عام 2020م من 1.5 تريليون دولار أمريكي في عام 2018م. ويقدر بنك التنمية الآسيوي أن الفجوة في صفقات تمويل التجاري سترتفع إلى ما لا يقل عن 2 تريليون دولار أمريكي في عام 2022م.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يعود النمو الكبير في صفقات التمويل التجاري إلى حد كبير إلى زيادة الطلب على تداول صفقات التمويل التجاري لمنتجات الطاقة. ومن المتوقع أن تصل التجارة العالمية إلى رقم قياسي جديد قدره 32 تريليون دولار أمريكي في عام 2022م، بزيادة قدرها </w:t>
      </w:r>
      <w:r>
        <w:rPr>
          <w:rFonts w:ascii="Arial" w:hAnsi="Arial" w:cs="Arial" w:eastAsia="Arial"/>
          <w:color w:val="0E1E3A"/>
          <w:sz w:val="20"/>
          <w:szCs w:val="20"/>
        </w:rPr>
        <w:t>‎12%‎</w:t>
      </w:r>
      <w:r>
        <w:rPr>
          <w:rFonts w:ascii="Arial" w:hAnsi="Arial" w:cs="Arial" w:eastAsia="Arial"/>
          <w:color w:val="0E1E3A"/>
          <w:sz w:val="20"/>
          <w:szCs w:val="20"/>
          <w:rtl/>
        </w:rPr>
        <w:t xml:space="preserve"> على أساس سنوي وسط طلب مرن على السلع والخدمات.</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لوكالة فيتش، انخفض إجمالي إصدارات الصكوك في الأسواق الرئيسية بنسبة </w:t>
      </w:r>
      <w:r>
        <w:rPr>
          <w:rFonts w:ascii="Arial" w:hAnsi="Arial" w:cs="Arial" w:eastAsia="Arial"/>
          <w:color w:val="0E1E3A"/>
          <w:sz w:val="20"/>
          <w:szCs w:val="20"/>
        </w:rPr>
        <w:t>‎14.4%‎</w:t>
      </w:r>
      <w:r>
        <w:rPr>
          <w:rFonts w:ascii="Arial" w:hAnsi="Arial" w:cs="Arial" w:eastAsia="Arial"/>
          <w:color w:val="0E1E3A"/>
          <w:sz w:val="20"/>
          <w:szCs w:val="20"/>
          <w:rtl/>
        </w:rPr>
        <w:t xml:space="preserve"> في الربع الثالث من عام 2022م. ومع ذلك، ارتفعت الصكوك العالمية القائمة بنسبة </w:t>
      </w:r>
      <w:r>
        <w:rPr>
          <w:rFonts w:ascii="Arial" w:hAnsi="Arial" w:cs="Arial" w:eastAsia="Arial"/>
          <w:color w:val="0E1E3A"/>
          <w:sz w:val="20"/>
          <w:szCs w:val="20"/>
        </w:rPr>
        <w:t>‎2.1%‎</w:t>
      </w:r>
      <w:r>
        <w:rPr>
          <w:rFonts w:ascii="Arial" w:hAnsi="Arial" w:cs="Arial" w:eastAsia="Arial"/>
          <w:color w:val="0E1E3A"/>
          <w:sz w:val="20"/>
          <w:szCs w:val="20"/>
          <w:rtl/>
        </w:rPr>
        <w:t xml:space="preserve"> على أساس ربع سنوي لتصل إلى 749.6 مليار دولار أمريكي.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تتوقع وكالة فيتش للتصنيفات الائتمانية أن يكون نشاط سوق الصكوك على المدى القصير بطيئًا في الأسواق الأساسية لدول مجلس التعاون الخليجي، وماليزيا، وإندونيسيا، بسبب استمرار التذبذب، وارتفاع أسعار الفائدة، وارتفاع أسعار الطاقة عالميا، والأحداث الجيوسياسية، وانخفاض الاقبال لديون الأسواق الناشئة.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على الرغم من زيادة الربحية، فمن المتوقع أن يستمر المصدرون المحليون في إعطاء الأولوية لاحتياجاتهم من السيولة للعام المقبل من خلال التركيز على زيادة رأس المال من خلال إصدار الديون، وخاصة الصكوك. وفقًا لـ KPMG، كان هناك 3.8 مليار دولار أمريكي للإصدارات المحلية في الأشهر التسعة الأولى من عام 2022م، ومن المتوقع أن يرتفع هذا الرقم في الأشهر المقبلة حيث تغذي البنوك الطلب المتزايد في القطاعين العام والخاص.</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 حيث الأداء، من المقرر أن تسجل الخسائر في سوق السندات العالمية التي شهدها عام 2022م من أسوأ الأعوام لها منذ عقود، حيث تكبد سوق الصكوك تراجعًا ملحوظًا في عام 2022م فقد حقق مؤشر داو جونز للصكوك انخفاض بنسبة </w:t>
      </w:r>
      <w:r>
        <w:rPr>
          <w:rFonts w:ascii="Arial" w:hAnsi="Arial" w:cs="Arial" w:eastAsia="Arial"/>
          <w:color w:val="0E1E3A"/>
          <w:sz w:val="20"/>
          <w:szCs w:val="20"/>
        </w:rPr>
        <w:t>‎7.81%‎</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 *</w:t>
      </w:r>
    </w:p>
    <w:p>
      <w:pPr>
        <w:bidi w:val="1"/>
        <w:spacing w:before="0" w:after="80" w:line="240" w:lineRule="auto"/>
        <w:jc w:val="center"/>
      </w:pPr>
      <w:r>
        <w:drawing>
          <wp:inline xmlns:a="http://schemas.openxmlformats.org/drawingml/2006/main" xmlns:pic="http://schemas.openxmlformats.org/drawingml/2006/picture">
            <wp:extent cx="6336000" cy="2825514"/>
            <wp:docPr id="24" name="Picture 9046"/>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31 ديسمبر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48"/>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الرابع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