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3"/>
            <wp:cNvGraphicFramePr/>
            <a:graphic>
              <a:graphicData uri="http://schemas.openxmlformats.org/drawingml/2006/picture">
                <pic:pic>
                  <pic:nvPicPr>
                    <pic:cNvPr id="9023" name="banner9023.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9.9264</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521,400,605</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48,754,009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9.35%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10.39%</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2022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2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chart shows the fund's 10 largest investments.</w:t>
      </w:r>
      <w:r>
        <w:br/>
      </w:r>
      <w:r>
        <w:rPr>
          <w:rFonts w:ascii="Arial" w:hAnsi="Arial" w:cs="Arial" w:eastAsia="Arial"/>
          <w:color w:val="5A6478"/>
          <w:sz w:val="17"/>
          <w:szCs w:val="17"/>
        </w:rPr>
        <w:t>The average term of Fund investments are 3.4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521,400,605</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469,334,101</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0.47%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0.64%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0.72%</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COSTS AND FEES FOR THE REPORTING QUARTER</w:t>
            </w:r>
          </w:p>
        </w:tc>
        <w:tc>
          <w:tcPr>
            <w:tcW w:type="dxa" w:w="6860"/>
          </w:tcPr>
          <w:p>
            <w:pPr>
              <w:spacing w:before="0" w:after="0" w:line="276" w:lineRule="auto"/>
            </w:pPr>
            <w:r>
              <w:rPr>
                <w:rFonts w:ascii="Arial" w:hAnsi="Arial" w:cs="Arial" w:eastAsia="Arial"/>
                <w:b/>
                <w:bCs/>
                <w:color w:val="0E1E3A"/>
                <w:sz w:val="18"/>
                <w:szCs w:val="18"/>
              </w:rPr>
              <w:t>SAR 3,361,765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0.52%</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2022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costs are all Fund fees and expenses, including financing costs.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0"/>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148,454,361</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190,889,334</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32,766,996</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121,115,423</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28,174,491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2"/>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1" name="Picture 9033"/>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77730"/>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2022)</w:t>
            </w:r>
          </w:p>
        </w:tc>
        <w:tc>
          <w:tcPr>
            <w:tcW w:type="dxa" w:w="6860"/>
          </w:tcPr>
          <w:p>
            <w:pPr>
              <w:spacing w:before="0" w:after="0" w:line="276" w:lineRule="auto"/>
            </w:pPr>
            <w:r>
              <w:rPr>
                <w:rFonts w:ascii="Arial" w:hAnsi="Arial" w:cs="Arial" w:eastAsia="Arial"/>
                <w:b/>
                <w:bCs/>
                <w:color w:val="0E1E3A"/>
                <w:sz w:val="18"/>
                <w:szCs w:val="18"/>
              </w:rPr>
              <w:t>SAR 5.95</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30 SEPTEMBER 2022 TO 31 DECEMBER 2022)*</w:t>
            </w:r>
          </w:p>
        </w:tc>
        <w:tc>
          <w:tcPr>
            <w:tcW w:type="dxa" w:w="6860"/>
          </w:tcPr>
          <w:p>
            <w:pPr>
              <w:spacing w:before="0" w:after="0" w:line="276" w:lineRule="auto"/>
            </w:pPr>
            <w:r>
              <w:rPr>
                <w:rFonts w:ascii="Arial" w:hAnsi="Arial" w:cs="Arial" w:eastAsia="Arial"/>
                <w:b/>
                <w:bCs/>
                <w:color w:val="0E1E3A"/>
                <w:sz w:val="18"/>
                <w:szCs w:val="18"/>
              </w:rPr>
              <w:t>-17.13%</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Q4 2022)</w:t>
            </w:r>
          </w:p>
        </w:tc>
        <w:tc>
          <w:tcPr>
            <w:tcW w:type="dxa" w:w="6860"/>
          </w:tcPr>
          <w:p>
            <w:pPr>
              <w:spacing w:before="0" w:after="0" w:line="276" w:lineRule="auto"/>
            </w:pPr>
            <w:r>
              <w:rPr>
                <w:rFonts w:ascii="Arial" w:hAnsi="Arial" w:cs="Arial" w:eastAsia="Arial"/>
                <w:b/>
                <w:bCs/>
                <w:color w:val="0E1E3A"/>
                <w:sz w:val="18"/>
                <w:szCs w:val="18"/>
              </w:rPr>
              <w:t>-40.50%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8.99</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5.91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INSTRUMENTS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30 September 2022 = SAR 7.18.</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6"/>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12,293,182</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INTIAL UNIT PRICE</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3.59%</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10,475,325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(31 DECEMBER 2022)</w:t>
            </w:r>
          </w:p>
        </w:tc>
        <w:tc>
          <w:tcPr>
            <w:tcW w:type="dxa" w:w="6860"/>
          </w:tcPr>
          <w:p>
            <w:pPr>
              <w:spacing w:before="0" w:after="0" w:line="276" w:lineRule="auto"/>
            </w:pPr>
            <w:r>
              <w:rPr>
                <w:rFonts w:ascii="Arial" w:hAnsi="Arial" w:cs="Arial" w:eastAsia="Arial"/>
                <w:b/>
                <w:bCs/>
                <w:color w:val="0E1E3A"/>
                <w:sz w:val="18"/>
                <w:szCs w:val="18"/>
              </w:rPr>
              <w:t>3.72%</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From 1 October 2022 to 31 December 2022.</w:t>
      </w:r>
      <w:r>
        <w:br/>
      </w:r>
      <w:r>
        <w:rPr>
          <w:rFonts w:ascii="Arial" w:hAnsi="Arial" w:cs="Arial" w:eastAsia="Arial"/>
          <w:color w:val="5A6478"/>
          <w:sz w:val="17"/>
          <w:szCs w:val="17"/>
        </w:rPr>
        <w:t>** From 1 January 2022 to 30 June 2022.</w:t>
      </w:r>
      <w:r>
        <w:br/>
      </w:r>
      <w:r>
        <w:rPr>
          <w:rFonts w:ascii="Arial" w:hAnsi="Arial" w:cs="Arial" w:eastAsia="Arial"/>
          <w:color w:val="5A6478"/>
          <w:sz w:val="17"/>
          <w:szCs w:val="17"/>
        </w:rPr>
        <w:t>*** Unit Price as at the distribution date of 30 June 2022 = SAR 7.24.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7"/>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-17.13%</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-40.50%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-33.60%</w:t>
            </w:r>
          </w:p>
        </w:tc>
      </w:tr>
    </w:tbl>
    <w:p>
      <w:pPr>
        <w:spacing w:before="0" w:after="40" w:line="300" w:lineRule="auto"/>
      </w:pPr>
    </w:p>
    <w:p>
      <w:pPr>
        <w:spacing w:before="0" w:after="80" w:line="312" w:lineRule="auto"/>
      </w:pPr>
      <w:r>
        <w:rPr>
          <w:rFonts w:ascii="Arial" w:hAnsi="Arial" w:cs="Arial" w:eastAsia="Arial"/>
          <w:color w:val="5A6478"/>
          <w:sz w:val="17"/>
          <w:szCs w:val="17"/>
        </w:rPr>
        <w:t>* Unit Price as of 30 September 2022 = SAR 7.18.</w:t>
      </w:r>
      <w:r>
        <w:br/>
      </w:r>
      <w:r>
        <w:rPr>
          <w:rFonts w:ascii="Arial" w:hAnsi="Arial" w:cs="Arial" w:eastAsia="Arial"/>
          <w:color w:val="5A6478"/>
          <w:sz w:val="17"/>
          <w:szCs w:val="17"/>
        </w:rPr>
        <w:t>** From the Fund’s Date of Inception to end Q4 2022.</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12-month LIBOR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LIBOR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9.7756</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9.9264</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1.54%</w:t>
            </w:r>
          </w:p>
        </w:tc>
        <w:tc>
          <w:tcPr>
            <w:tcW w:type="dxa" w:w="3326"/>
          </w:tcPr>
          <w:p>
            <w:pPr>
              <w:spacing w:before="0" w:after="0" w:line="264" w:lineRule="auto"/>
            </w:pPr>
            <w:r>
              <w:rPr>
                <w:rFonts w:ascii="Arial" w:hAnsi="Arial" w:cs="Arial" w:eastAsia="Arial"/>
                <w:color w:val="0E1E3A"/>
                <w:sz w:val="17"/>
                <w:szCs w:val="17"/>
              </w:rPr>
              <w:t>2.05%***</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2022.</w:t>
      </w:r>
      <w:r>
        <w:br/>
      </w:r>
      <w:r>
        <w:rPr>
          <w:rFonts w:ascii="Arial" w:hAnsi="Arial" w:cs="Arial" w:eastAsia="Arial"/>
          <w:color w:val="5A6478"/>
          <w:sz w:val="17"/>
          <w:szCs w:val="17"/>
        </w:rPr>
        <w:t>** As of 31 December 2022.</w:t>
      </w:r>
      <w:r>
        <w:br/>
      </w:r>
      <w:r>
        <w:rPr>
          <w:rFonts w:ascii="Arial" w:hAnsi="Arial" w:cs="Arial" w:eastAsia="Arial"/>
          <w:color w:val="5A6478"/>
          <w:sz w:val="17"/>
          <w:szCs w:val="17"/>
        </w:rPr>
        <w:t>*** Benchmark average return is 8.41% per annum, or a return of 2.05%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ITEM</w:t>
            </w:r>
          </w:p>
        </w:tc>
        <w:tc>
          <w:tcPr>
            <w:tcW w:type="dxa" w:w="2494"/>
            <w:shd w:val="clear" w:color="auto" w:fill="12284B"/>
          </w:tcPr>
          <w:p>
            <w:pPr>
              <w:spacing w:before="0" w:after="0" w:line="264" w:lineRule="auto"/>
            </w:pPr>
            <w:r>
              <w:rPr>
                <w:rFonts w:ascii="Arial" w:hAnsi="Arial" w:cs="Arial" w:eastAsia="Arial"/>
                <w:b/>
                <w:bCs/>
                <w:color w:val="FFFFFF"/>
                <w:sz w:val="17"/>
                <w:szCs w:val="17"/>
              </w:rPr>
              <w:t>3 MONTHS</w:t>
            </w:r>
          </w:p>
        </w:tc>
        <w:tc>
          <w:tcPr>
            <w:tcW w:type="dxa" w:w="2494"/>
            <w:shd w:val="clear" w:color="auto" w:fill="12284B"/>
          </w:tcPr>
          <w:p>
            <w:pPr>
              <w:spacing w:before="0" w:after="0" w:line="264" w:lineRule="auto"/>
            </w:pPr>
            <w:r>
              <w:rPr>
                <w:rFonts w:ascii="Arial" w:hAnsi="Arial" w:cs="Arial" w:eastAsia="Arial"/>
                <w:b/>
                <w:bCs/>
                <w:color w:val="FFFFFF"/>
                <w:sz w:val="17"/>
                <w:szCs w:val="17"/>
              </w:rPr>
              <w:t>ONE YEAR UP TO 30 SEPTEMBER 2022</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TOTAL RETURN/NAV PER UNIT "FUND PERFORMANCE"</w:t>
            </w:r>
          </w:p>
        </w:tc>
        <w:tc>
          <w:tcPr>
            <w:tcW w:type="dxa" w:w="2494"/>
          </w:tcPr>
          <w:p>
            <w:pPr>
              <w:spacing w:before="0" w:after="0" w:line="264" w:lineRule="auto"/>
            </w:pPr>
            <w:r>
              <w:rPr>
                <w:rFonts w:ascii="Arial" w:hAnsi="Arial" w:cs="Arial" w:eastAsia="Arial"/>
                <w:color w:val="0E1E3A"/>
                <w:sz w:val="17"/>
                <w:szCs w:val="17"/>
              </w:rPr>
              <w:t>1.54%*</w:t>
            </w:r>
          </w:p>
        </w:tc>
        <w:tc>
          <w:tcPr>
            <w:tcW w:type="dxa" w:w="2494"/>
          </w:tcPr>
          <w:p>
            <w:pPr>
              <w:spacing w:before="0" w:after="0" w:line="264" w:lineRule="auto"/>
            </w:pPr>
            <w:r>
              <w:rPr>
                <w:rFonts w:ascii="Arial" w:hAnsi="Arial" w:cs="Arial" w:eastAsia="Arial"/>
                <w:color w:val="0E1E3A"/>
                <w:sz w:val="17"/>
                <w:szCs w:val="17"/>
              </w:rPr>
              <w:t>1.86%**</w:t>
            </w:r>
          </w:p>
        </w:tc>
        <w:tc>
          <w:tcPr>
            <w:tcW w:type="dxa" w:w="2494"/>
          </w:tcPr>
          <w:p>
            <w:pPr>
              <w:spacing w:before="0" w:after="0" w:line="264" w:lineRule="auto"/>
            </w:pPr>
            <w:r>
              <w:rPr>
                <w:rFonts w:ascii="Arial" w:hAnsi="Arial" w:cs="Arial" w:eastAsia="Arial"/>
                <w:color w:val="0E1E3A"/>
                <w:sz w:val="17"/>
                <w:szCs w:val="17"/>
              </w:rPr>
              <w:t>1.86%***</w:t>
            </w:r>
          </w:p>
        </w:tc>
      </w:tr>
      <w:tr>
        <w:tc>
          <w:tcPr>
            <w:tcW w:type="dxa" w:w="2494"/>
          </w:tcPr>
          <w:p>
            <w:pPr>
              <w:spacing w:before="0" w:after="0" w:line="264" w:lineRule="auto"/>
            </w:pPr>
            <w:r>
              <w:rPr>
                <w:rFonts w:ascii="Arial" w:hAnsi="Arial" w:cs="Arial" w:eastAsia="Arial"/>
                <w:color w:val="0E1E3A"/>
                <w:sz w:val="17"/>
                <w:szCs w:val="17"/>
              </w:rPr>
              <w:t>BENCHMARK PERFORMANCE</w:t>
            </w:r>
          </w:p>
        </w:tc>
        <w:tc>
          <w:tcPr>
            <w:tcW w:type="dxa" w:w="2494"/>
          </w:tcPr>
          <w:p>
            <w:pPr>
              <w:spacing w:before="0" w:after="0" w:line="264" w:lineRule="auto"/>
            </w:pPr>
            <w:r>
              <w:rPr>
                <w:rFonts w:ascii="Arial" w:hAnsi="Arial" w:cs="Arial" w:eastAsia="Arial"/>
                <w:color w:val="0E1E3A"/>
                <w:sz w:val="17"/>
                <w:szCs w:val="17"/>
              </w:rPr>
              <w:t>2.05%</w:t>
            </w:r>
          </w:p>
        </w:tc>
        <w:tc>
          <w:tcPr>
            <w:tcW w:type="dxa" w:w="2494"/>
          </w:tcPr>
          <w:p>
            <w:pPr>
              <w:spacing w:before="0" w:after="0" w:line="264" w:lineRule="auto"/>
            </w:pPr>
            <w:r>
              <w:rPr>
                <w:rFonts w:ascii="Arial" w:hAnsi="Arial" w:cs="Arial" w:eastAsia="Arial"/>
                <w:color w:val="0E1E3A"/>
                <w:sz w:val="17"/>
                <w:szCs w:val="17"/>
              </w:rPr>
              <w:t>6.42%</w:t>
            </w:r>
          </w:p>
        </w:tc>
        <w:tc>
          <w:tcPr>
            <w:tcW w:type="dxa" w:w="2494"/>
          </w:tcPr>
          <w:p>
            <w:pPr>
              <w:spacing w:before="0" w:after="0" w:line="264" w:lineRule="auto"/>
            </w:pPr>
            <w:r>
              <w:rPr>
                <w:rFonts w:ascii="Arial" w:hAnsi="Arial" w:cs="Arial" w:eastAsia="Arial"/>
                <w:color w:val="0E1E3A"/>
                <w:sz w:val="17"/>
                <w:szCs w:val="17"/>
              </w:rPr>
              <w:t>6.42%</w:t>
            </w:r>
          </w:p>
        </w:tc>
      </w:tr>
      <w:tr>
        <w:tc>
          <w:tcPr>
            <w:tcW w:type="dxa" w:w="2494"/>
          </w:tcPr>
          <w:p>
            <w:pPr>
              <w:spacing w:before="0" w:after="0" w:line="264" w:lineRule="auto"/>
            </w:pPr>
            <w:r>
              <w:rPr>
                <w:rFonts w:ascii="Arial" w:hAnsi="Arial" w:cs="Arial" w:eastAsia="Arial"/>
                <w:color w:val="0E1E3A"/>
                <w:sz w:val="17"/>
                <w:szCs w:val="17"/>
              </w:rPr>
              <w:t>PERFORMANCE SPREAD</w:t>
            </w:r>
          </w:p>
        </w:tc>
        <w:tc>
          <w:tcPr>
            <w:tcW w:type="dxa" w:w="2494"/>
          </w:tcPr>
          <w:p>
            <w:pPr>
              <w:spacing w:before="0" w:after="0" w:line="264" w:lineRule="auto"/>
            </w:pPr>
            <w:r>
              <w:rPr>
                <w:rFonts w:ascii="Arial" w:hAnsi="Arial" w:cs="Arial" w:eastAsia="Arial"/>
                <w:color w:val="0E1E3A"/>
                <w:sz w:val="17"/>
                <w:szCs w:val="17"/>
              </w:rPr>
              <w:t>-0.51%</w:t>
            </w:r>
          </w:p>
        </w:tc>
        <w:tc>
          <w:tcPr>
            <w:tcW w:type="dxa" w:w="2494"/>
          </w:tcPr>
          <w:p>
            <w:pPr>
              <w:spacing w:before="0" w:after="0" w:line="264" w:lineRule="auto"/>
            </w:pPr>
            <w:r>
              <w:rPr>
                <w:rFonts w:ascii="Arial" w:hAnsi="Arial" w:cs="Arial" w:eastAsia="Arial"/>
                <w:color w:val="0E1E3A"/>
                <w:sz w:val="17"/>
                <w:szCs w:val="17"/>
              </w:rPr>
              <w:t>-4.56%</w:t>
            </w:r>
          </w:p>
        </w:tc>
        <w:tc>
          <w:tcPr>
            <w:tcW w:type="dxa" w:w="2494"/>
          </w:tcPr>
          <w:p>
            <w:pPr>
              <w:spacing w:before="0" w:after="0" w:line="264" w:lineRule="auto"/>
            </w:pPr>
            <w:r>
              <w:rPr>
                <w:rFonts w:ascii="Arial" w:hAnsi="Arial" w:cs="Arial" w:eastAsia="Arial"/>
                <w:color w:val="0E1E3A"/>
                <w:sz w:val="17"/>
                <w:szCs w:val="17"/>
              </w:rPr>
              <w:t>-4.56%</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October 2022 to 31 December 2022.</w:t>
      </w:r>
      <w:r>
        <w:br/>
      </w:r>
      <w:r>
        <w:rPr>
          <w:rFonts w:ascii="Arial" w:hAnsi="Arial" w:cs="Arial" w:eastAsia="Arial"/>
          <w:color w:val="5A6478"/>
          <w:sz w:val="17"/>
          <w:szCs w:val="17"/>
        </w:rPr>
        <w:t>** For the period from 1 January 2022 to 31 December 2022, including cash distributions of 5.1%.</w:t>
      </w:r>
      <w:r>
        <w:br/>
      </w:r>
      <w:r>
        <w:rPr>
          <w:rFonts w:ascii="Arial" w:hAnsi="Arial" w:cs="Arial" w:eastAsia="Arial"/>
          <w:color w:val="5A6478"/>
          <w:sz w:val="17"/>
          <w:szCs w:val="17"/>
        </w:rPr>
        <w:t>*** For the period from 1 January 2022 to 31 December 2022, including cash distributions of 5.1% (NAV/Unit as at 31 December 2021 = SAR 10.2462).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2"/>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2494"/>
            <w:shd w:val="clear" w:color="auto" w:fill="12284B"/>
          </w:tcPr>
          <w:p>
            <w:pPr>
              <w:spacing w:before="0" w:after="0" w:line="264" w:lineRule="auto"/>
            </w:pPr>
            <w:r>
              <w:rPr>
                <w:rFonts w:ascii="Arial" w:hAnsi="Arial" w:cs="Arial" w:eastAsia="Arial"/>
                <w:b/>
                <w:bCs/>
                <w:color w:val="FFFFFF"/>
                <w:sz w:val="17"/>
                <w:szCs w:val="17"/>
              </w:rPr>
              <w:t>3 MONTHS1</w:t>
            </w:r>
          </w:p>
        </w:tc>
        <w:tc>
          <w:tcPr>
            <w:tcW w:type="dxa" w:w="2494"/>
            <w:shd w:val="clear" w:color="auto" w:fill="12284B"/>
          </w:tcPr>
          <w:p>
            <w:pPr>
              <w:spacing w:before="0" w:after="0" w:line="264" w:lineRule="auto"/>
            </w:pPr>
            <w:r>
              <w:rPr>
                <w:rFonts w:ascii="Arial" w:hAnsi="Arial" w:cs="Arial" w:eastAsia="Arial"/>
                <w:b/>
                <w:bCs/>
                <w:color w:val="FFFFFF"/>
                <w:sz w:val="17"/>
                <w:szCs w:val="17"/>
              </w:rPr>
              <w:t>ONE YEAR UP TO 30 SEPTEMBER 20222</w:t>
            </w:r>
          </w:p>
        </w:tc>
        <w:tc>
          <w:tcPr>
            <w:tcW w:type="dxa" w:w="2494"/>
            <w:shd w:val="clear" w:color="auto" w:fill="12284B"/>
          </w:tcPr>
          <w:p>
            <w:pPr>
              <w:spacing w:before="0" w:after="0" w:line="264" w:lineRule="auto"/>
            </w:pPr>
            <w:r>
              <w:rPr>
                <w:rFonts w:ascii="Arial" w:hAnsi="Arial" w:cs="Arial" w:eastAsia="Arial"/>
                <w:b/>
                <w:bCs/>
                <w:color w:val="FFFFFF"/>
                <w:sz w:val="17"/>
                <w:szCs w:val="17"/>
              </w:rPr>
              <w:t>ONE YEAR3</w:t>
            </w:r>
          </w:p>
        </w:tc>
      </w:tr>
      <w:tr>
        <w:tc>
          <w:tcPr>
            <w:tcW w:type="dxa" w:w="2494"/>
          </w:tcPr>
          <w:p>
            <w:pPr>
              <w:spacing w:before="0" w:after="0" w:line="264" w:lineRule="auto"/>
            </w:pPr>
            <w:r>
              <w:rPr>
                <w:rFonts w:ascii="Arial" w:hAnsi="Arial" w:cs="Arial" w:eastAsia="Arial"/>
                <w:color w:val="0E1E3A"/>
                <w:sz w:val="17"/>
                <w:szCs w:val="17"/>
              </w:rPr>
              <w:t>STANDARD DEVIATION4</w:t>
            </w:r>
          </w:p>
        </w:tc>
        <w:tc>
          <w:tcPr>
            <w:tcW w:type="dxa" w:w="2494"/>
          </w:tcPr>
          <w:p>
            <w:pPr>
              <w:spacing w:before="0" w:after="0" w:line="264" w:lineRule="auto"/>
            </w:pPr>
            <w:r>
              <w:rPr>
                <w:rFonts w:ascii="Arial" w:hAnsi="Arial" w:cs="Arial" w:eastAsia="Arial"/>
                <w:color w:val="0E1E3A"/>
                <w:sz w:val="17"/>
                <w:szCs w:val="17"/>
              </w:rPr>
              <w:t>2.51</w:t>
            </w:r>
          </w:p>
        </w:tc>
        <w:tc>
          <w:tcPr>
            <w:tcW w:type="dxa" w:w="2494"/>
          </w:tcPr>
          <w:p>
            <w:pPr>
              <w:spacing w:before="0" w:after="0" w:line="264" w:lineRule="auto"/>
            </w:pPr>
            <w:r>
              <w:rPr>
                <w:rFonts w:ascii="Arial" w:hAnsi="Arial" w:cs="Arial" w:eastAsia="Arial"/>
                <w:color w:val="0E1E3A"/>
                <w:sz w:val="17"/>
                <w:szCs w:val="17"/>
              </w:rPr>
              <w:t>9.22</w:t>
            </w:r>
          </w:p>
        </w:tc>
        <w:tc>
          <w:tcPr>
            <w:tcW w:type="dxa" w:w="2494"/>
          </w:tcPr>
          <w:p>
            <w:pPr>
              <w:spacing w:before="0" w:after="0" w:line="264" w:lineRule="auto"/>
            </w:pPr>
            <w:r>
              <w:rPr>
                <w:rFonts w:ascii="Arial" w:hAnsi="Arial" w:cs="Arial" w:eastAsia="Arial"/>
                <w:color w:val="0E1E3A"/>
                <w:sz w:val="17"/>
                <w:szCs w:val="17"/>
              </w:rPr>
              <w:t>9.22</w:t>
            </w:r>
          </w:p>
        </w:tc>
      </w:tr>
      <w:tr>
        <w:tc>
          <w:tcPr>
            <w:tcW w:type="dxa" w:w="2494"/>
          </w:tcPr>
          <w:p>
            <w:pPr>
              <w:spacing w:before="0" w:after="0" w:line="264" w:lineRule="auto"/>
            </w:pPr>
            <w:r>
              <w:rPr>
                <w:rFonts w:ascii="Arial" w:hAnsi="Arial" w:cs="Arial" w:eastAsia="Arial"/>
                <w:color w:val="0E1E3A"/>
                <w:sz w:val="17"/>
                <w:szCs w:val="17"/>
              </w:rPr>
              <w:t>SHARPE RATIO5</w:t>
            </w:r>
          </w:p>
        </w:tc>
        <w:tc>
          <w:tcPr>
            <w:tcW w:type="dxa" w:w="2494"/>
          </w:tcPr>
          <w:p>
            <w:pPr>
              <w:spacing w:before="0" w:after="0" w:line="264" w:lineRule="auto"/>
            </w:pPr>
            <w:r>
              <w:rPr>
                <w:rFonts w:ascii="Arial" w:hAnsi="Arial" w:cs="Arial" w:eastAsia="Arial"/>
                <w:color w:val="0E1E3A"/>
                <w:sz w:val="17"/>
                <w:szCs w:val="17"/>
              </w:rPr>
              <w:t>-13.25</w:t>
            </w:r>
          </w:p>
        </w:tc>
        <w:tc>
          <w:tcPr>
            <w:tcW w:type="dxa" w:w="2494"/>
          </w:tcPr>
          <w:p>
            <w:pPr>
              <w:spacing w:before="0" w:after="0" w:line="264" w:lineRule="auto"/>
            </w:pPr>
            <w:r>
              <w:rPr>
                <w:rFonts w:ascii="Arial" w:hAnsi="Arial" w:cs="Arial" w:eastAsia="Arial"/>
                <w:color w:val="0E1E3A"/>
                <w:sz w:val="17"/>
                <w:szCs w:val="17"/>
              </w:rPr>
              <w:t>-2.41</w:t>
            </w:r>
          </w:p>
        </w:tc>
        <w:tc>
          <w:tcPr>
            <w:tcW w:type="dxa" w:w="2494"/>
          </w:tcPr>
          <w:p>
            <w:pPr>
              <w:spacing w:before="0" w:after="0" w:line="264" w:lineRule="auto"/>
            </w:pPr>
            <w:r>
              <w:rPr>
                <w:rFonts w:ascii="Arial" w:hAnsi="Arial" w:cs="Arial" w:eastAsia="Arial"/>
                <w:color w:val="0E1E3A"/>
                <w:sz w:val="17"/>
                <w:szCs w:val="17"/>
              </w:rPr>
              <w:t>-2.41</w:t>
            </w:r>
          </w:p>
        </w:tc>
      </w:tr>
      <w:tr>
        <w:tc>
          <w:tcPr>
            <w:tcW w:type="dxa" w:w="2494"/>
          </w:tcPr>
          <w:p>
            <w:pPr>
              <w:spacing w:before="0" w:after="0" w:line="264" w:lineRule="auto"/>
            </w:pPr>
            <w:r>
              <w:rPr>
                <w:rFonts w:ascii="Arial" w:hAnsi="Arial" w:cs="Arial" w:eastAsia="Arial"/>
                <w:color w:val="0E1E3A"/>
                <w:sz w:val="17"/>
                <w:szCs w:val="17"/>
              </w:rPr>
              <w:t>TRACKING ERROR6</w:t>
            </w:r>
          </w:p>
        </w:tc>
        <w:tc>
          <w:tcPr>
            <w:tcW w:type="dxa" w:w="2494"/>
          </w:tcPr>
          <w:p>
            <w:pPr>
              <w:spacing w:before="0" w:after="0" w:line="264" w:lineRule="auto"/>
            </w:pPr>
            <w:r>
              <w:rPr>
                <w:rFonts w:ascii="Arial" w:hAnsi="Arial" w:cs="Arial" w:eastAsia="Arial"/>
                <w:color w:val="0E1E3A"/>
                <w:sz w:val="17"/>
                <w:szCs w:val="17"/>
              </w:rPr>
              <w:t>2.52</w:t>
            </w:r>
          </w:p>
        </w:tc>
        <w:tc>
          <w:tcPr>
            <w:tcW w:type="dxa" w:w="2494"/>
          </w:tcPr>
          <w:p>
            <w:pPr>
              <w:spacing w:before="0" w:after="0" w:line="264" w:lineRule="auto"/>
            </w:pPr>
            <w:r>
              <w:rPr>
                <w:rFonts w:ascii="Arial" w:hAnsi="Arial" w:cs="Arial" w:eastAsia="Arial"/>
                <w:color w:val="0E1E3A"/>
                <w:sz w:val="17"/>
                <w:szCs w:val="17"/>
              </w:rPr>
              <w:t>9.27</w:t>
            </w:r>
          </w:p>
        </w:tc>
        <w:tc>
          <w:tcPr>
            <w:tcW w:type="dxa" w:w="2494"/>
          </w:tcPr>
          <w:p>
            <w:pPr>
              <w:spacing w:before="0" w:after="0" w:line="264" w:lineRule="auto"/>
            </w:pPr>
            <w:r>
              <w:rPr>
                <w:rFonts w:ascii="Arial" w:hAnsi="Arial" w:cs="Arial" w:eastAsia="Arial"/>
                <w:color w:val="0E1E3A"/>
                <w:sz w:val="17"/>
                <w:szCs w:val="17"/>
              </w:rPr>
              <w:t>9.27</w:t>
            </w:r>
          </w:p>
        </w:tc>
      </w:tr>
      <w:tr>
        <w:tc>
          <w:tcPr>
            <w:tcW w:type="dxa" w:w="2494"/>
          </w:tcPr>
          <w:p>
            <w:pPr>
              <w:spacing w:before="0" w:after="0" w:line="264" w:lineRule="auto"/>
            </w:pPr>
            <w:r>
              <w:rPr>
                <w:rFonts w:ascii="Arial" w:hAnsi="Arial" w:cs="Arial" w:eastAsia="Arial"/>
                <w:color w:val="0E1E3A"/>
                <w:sz w:val="17"/>
                <w:szCs w:val="17"/>
              </w:rPr>
              <w:t>BETA7</w:t>
            </w:r>
          </w:p>
        </w:tc>
        <w:tc>
          <w:tcPr>
            <w:tcW w:type="dxa" w:w="2494"/>
          </w:tcPr>
          <w:p>
            <w:pPr>
              <w:spacing w:before="0" w:after="0" w:line="264" w:lineRule="auto"/>
            </w:pPr>
            <w:r>
              <w:rPr>
                <w:rFonts w:ascii="Arial" w:hAnsi="Arial" w:cs="Arial" w:eastAsia="Arial"/>
                <w:color w:val="0E1E3A"/>
                <w:sz w:val="17"/>
                <w:szCs w:val="17"/>
              </w:rPr>
              <w:t>(24.32)</w:t>
            </w:r>
          </w:p>
        </w:tc>
        <w:tc>
          <w:tcPr>
            <w:tcW w:type="dxa" w:w="2494"/>
          </w:tcPr>
          <w:p>
            <w:pPr>
              <w:spacing w:before="0" w:after="0" w:line="264" w:lineRule="auto"/>
            </w:pPr>
            <w:r>
              <w:rPr>
                <w:rFonts w:ascii="Arial" w:hAnsi="Arial" w:cs="Arial" w:eastAsia="Arial"/>
                <w:color w:val="0E1E3A"/>
                <w:sz w:val="17"/>
                <w:szCs w:val="17"/>
              </w:rPr>
              <w:t>(4.92)</w:t>
            </w:r>
          </w:p>
        </w:tc>
        <w:tc>
          <w:tcPr>
            <w:tcW w:type="dxa" w:w="2494"/>
          </w:tcPr>
          <w:p>
            <w:pPr>
              <w:spacing w:before="0" w:after="0" w:line="264" w:lineRule="auto"/>
            </w:pPr>
            <w:r>
              <w:rPr>
                <w:rFonts w:ascii="Arial" w:hAnsi="Arial" w:cs="Arial" w:eastAsia="Arial"/>
                <w:color w:val="0E1E3A"/>
                <w:sz w:val="17"/>
                <w:szCs w:val="17"/>
              </w:rPr>
              <w:t>(4.92)</w:t>
            </w:r>
          </w:p>
        </w:tc>
      </w:tr>
      <w:tr>
        <w:tc>
          <w:tcPr>
            <w:tcW w:type="dxa" w:w="2494"/>
          </w:tcPr>
          <w:p>
            <w:pPr>
              <w:spacing w:before="0" w:after="0" w:line="264" w:lineRule="auto"/>
            </w:pPr>
            <w:r>
              <w:rPr>
                <w:rFonts w:ascii="Arial" w:hAnsi="Arial" w:cs="Arial" w:eastAsia="Arial"/>
                <w:color w:val="0E1E3A"/>
                <w:sz w:val="17"/>
                <w:szCs w:val="17"/>
              </w:rPr>
              <w:t>ALPHA8</w:t>
            </w:r>
          </w:p>
        </w:tc>
        <w:tc>
          <w:tcPr>
            <w:tcW w:type="dxa" w:w="2494"/>
          </w:tcPr>
          <w:p>
            <w:pPr>
              <w:spacing w:before="0" w:after="0" w:line="264" w:lineRule="auto"/>
            </w:pPr>
            <w:r>
              <w:rPr>
                <w:rFonts w:ascii="Arial" w:hAnsi="Arial" w:cs="Arial" w:eastAsia="Arial"/>
                <w:color w:val="0E1E3A"/>
                <w:sz w:val="17"/>
                <w:szCs w:val="17"/>
              </w:rPr>
              <w:t>-42.05%</w:t>
            </w:r>
          </w:p>
        </w:tc>
        <w:tc>
          <w:tcPr>
            <w:tcW w:type="dxa" w:w="2494"/>
          </w:tcPr>
          <w:p>
            <w:pPr>
              <w:spacing w:before="0" w:after="0" w:line="264" w:lineRule="auto"/>
            </w:pPr>
            <w:r>
              <w:rPr>
                <w:rFonts w:ascii="Arial" w:hAnsi="Arial" w:cs="Arial" w:eastAsia="Arial"/>
                <w:color w:val="0E1E3A"/>
                <w:sz w:val="17"/>
                <w:szCs w:val="17"/>
              </w:rPr>
              <w:t>-28.49%</w:t>
            </w:r>
          </w:p>
        </w:tc>
        <w:tc>
          <w:tcPr>
            <w:tcW w:type="dxa" w:w="2494"/>
          </w:tcPr>
          <w:p>
            <w:pPr>
              <w:spacing w:before="0" w:after="0" w:line="264" w:lineRule="auto"/>
            </w:pPr>
            <w:r>
              <w:rPr>
                <w:rFonts w:ascii="Arial" w:hAnsi="Arial" w:cs="Arial" w:eastAsia="Arial"/>
                <w:color w:val="0E1E3A"/>
                <w:sz w:val="17"/>
                <w:szCs w:val="17"/>
              </w:rPr>
              <w:t>-28.49</w:t>
            </w:r>
          </w:p>
        </w:tc>
      </w:tr>
      <w:tr>
        <w:tc>
          <w:tcPr>
            <w:tcW w:type="dxa" w:w="2494"/>
          </w:tcPr>
          <w:p>
            <w:pPr>
              <w:spacing w:before="0" w:after="0" w:line="264" w:lineRule="auto"/>
            </w:pPr>
            <w:r>
              <w:rPr>
                <w:rFonts w:ascii="Arial" w:hAnsi="Arial" w:cs="Arial" w:eastAsia="Arial"/>
                <w:color w:val="0E1E3A"/>
                <w:sz w:val="17"/>
                <w:szCs w:val="17"/>
              </w:rPr>
              <w:t>INFORMATION RATIO9</w:t>
            </w:r>
          </w:p>
        </w:tc>
        <w:tc>
          <w:tcPr>
            <w:tcW w:type="dxa" w:w="2494"/>
          </w:tcPr>
          <w:p>
            <w:pPr>
              <w:spacing w:before="0" w:after="0" w:line="264" w:lineRule="auto"/>
            </w:pPr>
            <w:r>
              <w:rPr>
                <w:rFonts w:ascii="Arial" w:hAnsi="Arial" w:cs="Arial" w:eastAsia="Arial"/>
                <w:color w:val="0E1E3A"/>
                <w:sz w:val="17"/>
                <w:szCs w:val="17"/>
              </w:rPr>
              <w:t>-16.71%</w:t>
            </w:r>
          </w:p>
        </w:tc>
        <w:tc>
          <w:tcPr>
            <w:tcW w:type="dxa" w:w="2494"/>
          </w:tcPr>
          <w:p>
            <w:pPr>
              <w:spacing w:before="0" w:after="0" w:line="264" w:lineRule="auto"/>
            </w:pPr>
            <w:r>
              <w:rPr>
                <w:rFonts w:ascii="Arial" w:hAnsi="Arial" w:cs="Arial" w:eastAsia="Arial"/>
                <w:color w:val="0E1E3A"/>
                <w:sz w:val="17"/>
                <w:szCs w:val="17"/>
              </w:rPr>
              <w:t>-3.07%</w:t>
            </w:r>
          </w:p>
        </w:tc>
        <w:tc>
          <w:tcPr>
            <w:tcW w:type="dxa" w:w="2494"/>
          </w:tcPr>
          <w:p>
            <w:pPr>
              <w:spacing w:before="0" w:after="0" w:line="264" w:lineRule="auto"/>
            </w:pPr>
            <w:r>
              <w:rPr>
                <w:rFonts w:ascii="Arial" w:hAnsi="Arial" w:cs="Arial" w:eastAsia="Arial"/>
                <w:color w:val="0E1E3A"/>
                <w:sz w:val="17"/>
                <w:szCs w:val="17"/>
              </w:rPr>
              <w:t>-3.07</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1 October 2022 to 31 December 2022.</w:t>
      </w:r>
      <w:r>
        <w:br/>
      </w:r>
      <w:r>
        <w:rPr>
          <w:rFonts w:ascii="Arial" w:hAnsi="Arial" w:cs="Arial" w:eastAsia="Arial"/>
          <w:color w:val="5A6478"/>
          <w:sz w:val="17"/>
          <w:szCs w:val="17"/>
        </w:rPr>
        <w:t>2. For the period from 1 January 2022 to 31 December 2022.</w:t>
      </w:r>
      <w:r>
        <w:br/>
      </w:r>
      <w:r>
        <w:rPr>
          <w:rFonts w:ascii="Arial" w:hAnsi="Arial" w:cs="Arial" w:eastAsia="Arial"/>
          <w:color w:val="5A6478"/>
          <w:sz w:val="17"/>
          <w:szCs w:val="17"/>
        </w:rPr>
        <w:t>3. For the period from 1 January 2022 to 31 December 2022.</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3"/>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4"/>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December 2022 Monthly Confidence Index for the Equipment Finance Industry released by the Equipment Leasing and Finance Foundation (MCI-EFI), the overall confidence index in the equipment finance industry increased to 45.9, compared to 43.7 in November. Survey results show that 55.6% of respondents believe that business conditions will remain unchanged in the coming four months, compared to 46.4% in the previous month, while 40.7% believe that business conditions will worsen, a decrease from 53.6% in November.</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Monthly Leasing and Finance Index (MLFI-25) released by the Equipment Leasing and Finance Association (ELFA), which tracks the economic activity of 25 companies across the equipment finance sector, with a value of US$ 1 trillion, revealed that the volume of new business in November totaled US$ 8.6 billion, an increase of 9% on an annualized basis, compared to the volume of new business in November 2021. The cumulative volume of new business increased to date by 6% compared to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ELFA, the expansion of investments in hardware and software boomed in the second half of 2022, forming a strong launch pad into 2023, which is expected to be a year of greater difficulty for the economy and industry. In the meantime, investment in hardware and software increased by 12% (on an annualized basis) in Q3 of 2022, a significant recovery following its weak growth in Q2.</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United Nations Conference on Trade and Development (UNCTAD) stated that the volume of trade has increased in 2022, which is a sign of strong global demand.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Asian Development Bank (ADB), the gap in the global trade finance transactions has continued to be wide for at least ten years. It is estimated to have grown to US$ 1.7 trillion in 2020, compared to US$ 1.5 trillion in 2018. The ADB forecasts that the gap in trade finance transactions will increase to at least US$ 2 trillion in 2022.</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significant growth in trade finance transactions is mainly attributed to the greater demand on energy products trade finance transactions. World trade is expected to reach a new high of US$ 32 million in 2022, an increase of 12% on an annualized basis, amid elastic demand on commodities and services.</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Fitch Credit Ratings, total Sukuk issues in major markets decreased by 14.4% in Q3 of 2022. Nevertheless, outstanding global Sukuk increased by 2.1% on a quarterly basis, to reach US$ 749.6 billion.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Fitch Credit Ratings expects the activity in the Sukuk market to be slow in the short term in the key markets of the GCC, Malaysia and Indonesia due to continued volatility, higher interest rates, higher global energy prices, geopolitical events and lower demand on emerging market debts.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spite of higher profitability, domestic issuers are expected to continue to give priority to their liquidity needs for the coming year by focusing on increasing equity through debt issuance, particularly Sukuk. According to KPMG, domestic issues in the first nine months of 2022 totaled US$ 3.8 billion. This figure is expected to increase in the coming months with banks catering to the increasing demand in the public and private sectors.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losses in global Sukuk markets in 2022 are expected to mark the worst year in decades. The Sukuk market declined significantly in 2022, with Dow Jones Sukuk Index registering a decrease of 7.81%.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9892"/>
            <wp:docPr id="24" name="Picture 9046"/>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9892"/>
                    </a:xfrm>
                    <a:prstGeom prst="rect"/>
                  </pic:spPr>
                </pic:pic>
              </a:graphicData>
            </a:graphic>
          </wp:inline>
        </w:drawing>
      </w:r>
    </w:p>
    <w:p>
      <w:pPr>
        <w:spacing w:before="0" w:after="80" w:line="312" w:lineRule="auto"/>
      </w:pPr>
      <w:r>
        <w:rPr>
          <w:rFonts w:ascii="Arial" w:hAnsi="Arial" w:cs="Arial" w:eastAsia="Arial"/>
          <w:color w:val="5A6478"/>
          <w:sz w:val="17"/>
          <w:szCs w:val="17"/>
        </w:rPr>
        <w:t>* Prices as of 31 December 2022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7"/>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48"/>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Q4 2022</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