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5"/>
            <wp:cNvGraphicFramePr/>
            <a:graphic>
              <a:graphicData uri="http://schemas.openxmlformats.org/drawingml/2006/picture">
                <pic:pic>
                  <pic:nvPicPr>
                    <pic:cNvPr id="9025" name="banner9025.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26"/>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المتداول" (الصندوق) هو صندوق استثمار متداول مغلق متوافق مع ضوابط الهيئة الشرعية، وتم إنشاؤه بموجب الأنظمة واللوائح المعمول بها في المملكة، ويخضع لرقابة وإشراف هيئة السوق المالية. ويتمثل الهدف الاستثماري للصندوق في تحقيق دخل دوري للمستثمرين من خلال الاستثمار في أصول مدرة للدخل متوافقة مع ضوابط الهيئة الشرعية لتحقيق دخل دوري للصندوق. وينوي مدير الصندوق "الخبير المالية" الاستثمار في الصكوك، وصفقات التمويل التجاري، وصفقات الإجارة،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2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AKDICIF:AB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19 يناير 2021م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9.9193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502,259,793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 كما في تاريخ الإدراج *</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 *</w:t>
            </w:r>
          </w:p>
        </w:tc>
        <w:tc>
          <w:tcPr>
            <w:tcW w:type="dxa" w:w="6860"/>
          </w:tcPr>
          <w:p>
            <w:pPr>
              <w:bidi w:val="1"/>
              <w:spacing w:before="0" w:after="0" w:line="276" w:lineRule="auto"/>
            </w:pPr>
            <w:r>
              <w:rPr>
                <w:rFonts w:ascii="Arial" w:hAnsi="Arial" w:cs="Arial" w:eastAsia="Arial"/>
                <w:b/>
                <w:bCs/>
                <w:color w:val="0E1E3A"/>
                <w:sz w:val="18"/>
                <w:szCs w:val="18"/>
                <w:rtl/>
              </w:rPr>
              <w:t>28,669,984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‎5.71%‎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‎6.11%‎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‎0.33%‎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92 يوم</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ديسمبر 2023م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2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29"/>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متوسط مدة استثمارات الصندوق 3.1 سنوات.</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ربع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502,259,793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 *</w:t>
            </w:r>
          </w:p>
        </w:tc>
        <w:tc>
          <w:tcPr>
            <w:tcW w:type="dxa" w:w="6860"/>
          </w:tcPr>
          <w:p>
            <w:pPr>
              <w:bidi w:val="1"/>
              <w:spacing w:before="0" w:after="0" w:line="276" w:lineRule="auto"/>
            </w:pPr>
            <w:r>
              <w:rPr>
                <w:rFonts w:ascii="Arial" w:hAnsi="Arial" w:cs="Arial" w:eastAsia="Arial"/>
                <w:b/>
                <w:bCs/>
                <w:color w:val="0E1E3A"/>
                <w:sz w:val="18"/>
                <w:szCs w:val="18"/>
                <w:rtl/>
              </w:rPr>
              <w:t>468,998,167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الصفقات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وأتعاب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‎0.65%‎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‎0.75%‎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‎0.81%‎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تكاليف الصندوق للربع المعني</w:t>
            </w:r>
          </w:p>
        </w:tc>
        <w:tc>
          <w:tcPr>
            <w:tcW w:type="dxa" w:w="6860"/>
          </w:tcPr>
          <w:p>
            <w:pPr>
              <w:bidi w:val="1"/>
              <w:spacing w:before="0" w:after="0" w:line="276" w:lineRule="auto"/>
            </w:pPr>
            <w:r>
              <w:rPr>
                <w:rFonts w:ascii="Arial" w:hAnsi="Arial" w:cs="Arial" w:eastAsia="Arial"/>
                <w:b/>
                <w:bCs/>
                <w:color w:val="0E1E3A"/>
                <w:sz w:val="18"/>
                <w:szCs w:val="18"/>
                <w:rtl/>
              </w:rPr>
              <w:t>3,788,240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ديسمبر 2023م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إجمالي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للفترة المعنية = 465,221,914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32"/>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104,995,325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الإجارة</w:t>
            </w:r>
          </w:p>
        </w:tc>
        <w:tc>
          <w:tcPr>
            <w:tcW w:type="dxa" w:w="6860"/>
          </w:tcPr>
          <w:p>
            <w:pPr>
              <w:bidi w:val="1"/>
              <w:spacing w:before="0" w:after="0" w:line="276" w:lineRule="auto"/>
            </w:pPr>
            <w:r>
              <w:rPr>
                <w:rFonts w:ascii="Arial" w:hAnsi="Arial" w:cs="Arial" w:eastAsia="Arial"/>
                <w:b/>
                <w:bCs/>
                <w:color w:val="0E1E3A"/>
                <w:sz w:val="18"/>
                <w:szCs w:val="18"/>
                <w:rtl/>
              </w:rPr>
              <w:t>170,967,654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الصكوك</w:t>
            </w:r>
          </w:p>
        </w:tc>
        <w:tc>
          <w:tcPr>
            <w:tcW w:type="dxa" w:w="6860"/>
          </w:tcPr>
          <w:p>
            <w:pPr>
              <w:bidi w:val="1"/>
              <w:spacing w:before="0" w:after="0" w:line="276" w:lineRule="auto"/>
            </w:pPr>
            <w:r>
              <w:rPr>
                <w:rFonts w:ascii="Arial" w:hAnsi="Arial" w:cs="Arial" w:eastAsia="Arial"/>
                <w:b/>
                <w:bCs/>
                <w:color w:val="0E1E3A"/>
                <w:sz w:val="18"/>
                <w:szCs w:val="18"/>
                <w:rtl/>
              </w:rPr>
              <w:t>32,609,517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113,021,512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80,665,785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2021م</w:t>
            </w:r>
          </w:p>
        </w:tc>
        <w:tc>
          <w:tcPr>
            <w:tcW w:type="dxa" w:w="6860"/>
          </w:tcPr>
          <w:p>
            <w:pPr>
              <w:bidi w:val="1"/>
              <w:spacing w:before="0" w:after="0" w:line="276" w:lineRule="auto"/>
            </w:pPr>
            <w:r>
              <w:rPr>
                <w:rFonts w:ascii="Arial" w:hAnsi="Arial" w:cs="Arial" w:eastAsia="Arial"/>
                <w:b/>
                <w:bCs/>
                <w:color w:val="0E1E3A"/>
                <w:sz w:val="18"/>
                <w:szCs w:val="18"/>
                <w:rtl/>
              </w:rPr>
              <w:t>428,370,118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2021م</w:t>
            </w:r>
          </w:p>
        </w:tc>
        <w:tc>
          <w:tcPr>
            <w:tcW w:type="dxa" w:w="6860"/>
          </w:tcPr>
          <w:p>
            <w:pPr>
              <w:bidi w:val="1"/>
              <w:spacing w:before="0" w:after="0" w:line="276" w:lineRule="auto"/>
            </w:pPr>
            <w:r>
              <w:rPr>
                <w:rFonts w:ascii="Arial" w:hAnsi="Arial" w:cs="Arial" w:eastAsia="Arial"/>
                <w:b/>
                <w:bCs/>
                <w:color w:val="0E1E3A"/>
                <w:sz w:val="18"/>
                <w:szCs w:val="18"/>
                <w:rtl/>
              </w:rPr>
              <w:t>433,098,265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2021م</w:t>
            </w:r>
          </w:p>
        </w:tc>
        <w:tc>
          <w:tcPr>
            <w:tcW w:type="dxa" w:w="6860"/>
          </w:tcPr>
          <w:p>
            <w:pPr>
              <w:bidi w:val="1"/>
              <w:spacing w:before="0" w:after="0" w:line="276" w:lineRule="auto"/>
            </w:pPr>
            <w:r>
              <w:rPr>
                <w:rFonts w:ascii="Arial" w:hAnsi="Arial" w:cs="Arial" w:eastAsia="Arial"/>
                <w:b/>
                <w:bCs/>
                <w:color w:val="0E1E3A"/>
                <w:sz w:val="18"/>
                <w:szCs w:val="18"/>
                <w:rtl/>
              </w:rPr>
              <w:t>427,897,304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2021م</w:t>
            </w:r>
          </w:p>
        </w:tc>
        <w:tc>
          <w:tcPr>
            <w:tcW w:type="dxa" w:w="6860"/>
          </w:tcPr>
          <w:p>
            <w:pPr>
              <w:bidi w:val="1"/>
              <w:spacing w:before="0" w:after="0" w:line="276" w:lineRule="auto"/>
            </w:pPr>
            <w:r>
              <w:rPr>
                <w:rFonts w:ascii="Arial" w:hAnsi="Arial" w:cs="Arial" w:eastAsia="Arial"/>
                <w:b/>
                <w:bCs/>
                <w:color w:val="0E1E3A"/>
                <w:sz w:val="18"/>
                <w:szCs w:val="18"/>
                <w:rtl/>
              </w:rPr>
              <w:t>409,930,345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2022م</w:t>
            </w:r>
          </w:p>
        </w:tc>
        <w:tc>
          <w:tcPr>
            <w:tcW w:type="dxa" w:w="6860"/>
          </w:tcPr>
          <w:p>
            <w:pPr>
              <w:bidi w:val="1"/>
              <w:spacing w:before="0" w:after="0" w:line="276" w:lineRule="auto"/>
            </w:pPr>
            <w:r>
              <w:rPr>
                <w:rFonts w:ascii="Arial" w:hAnsi="Arial" w:cs="Arial" w:eastAsia="Arial"/>
                <w:b/>
                <w:bCs/>
                <w:color w:val="0E1E3A"/>
                <w:sz w:val="18"/>
                <w:szCs w:val="18"/>
                <w:rtl/>
              </w:rPr>
              <w:t>402,838,124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342,317,843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2022م</w:t>
            </w:r>
          </w:p>
        </w:tc>
        <w:tc>
          <w:tcPr>
            <w:tcW w:type="dxa" w:w="6860"/>
          </w:tcPr>
          <w:p>
            <w:pPr>
              <w:bidi w:val="1"/>
              <w:spacing w:before="0" w:after="0" w:line="276" w:lineRule="auto"/>
            </w:pPr>
            <w:r>
              <w:rPr>
                <w:rFonts w:ascii="Arial" w:hAnsi="Arial" w:cs="Arial" w:eastAsia="Arial"/>
                <w:b/>
                <w:bCs/>
                <w:color w:val="0E1E3A"/>
                <w:sz w:val="18"/>
                <w:szCs w:val="18"/>
                <w:rtl/>
              </w:rPr>
              <w:t>339,480,955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2022م</w:t>
            </w:r>
          </w:p>
        </w:tc>
        <w:tc>
          <w:tcPr>
            <w:tcW w:type="dxa" w:w="6860"/>
          </w:tcPr>
          <w:p>
            <w:pPr>
              <w:bidi w:val="1"/>
              <w:spacing w:before="0" w:after="0" w:line="276" w:lineRule="auto"/>
            </w:pPr>
            <w:r>
              <w:rPr>
                <w:rFonts w:ascii="Arial" w:hAnsi="Arial" w:cs="Arial" w:eastAsia="Arial"/>
                <w:b/>
                <w:bCs/>
                <w:color w:val="0E1E3A"/>
                <w:sz w:val="18"/>
                <w:szCs w:val="18"/>
                <w:rtl/>
              </w:rPr>
              <w:t>281,324,747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2023م</w:t>
            </w:r>
          </w:p>
        </w:tc>
        <w:tc>
          <w:tcPr>
            <w:tcW w:type="dxa" w:w="6860"/>
          </w:tcPr>
          <w:p>
            <w:pPr>
              <w:bidi w:val="1"/>
              <w:spacing w:before="0" w:after="0" w:line="276" w:lineRule="auto"/>
            </w:pPr>
            <w:r>
              <w:rPr>
                <w:rFonts w:ascii="Arial" w:hAnsi="Arial" w:cs="Arial" w:eastAsia="Arial"/>
                <w:b/>
                <w:bCs/>
                <w:color w:val="0E1E3A"/>
                <w:sz w:val="18"/>
                <w:szCs w:val="18"/>
                <w:rtl/>
              </w:rPr>
              <w:t>297,873,261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يونيو 2023م</w:t>
            </w:r>
          </w:p>
        </w:tc>
        <w:tc>
          <w:tcPr>
            <w:tcW w:type="dxa" w:w="6860"/>
          </w:tcPr>
          <w:p>
            <w:pPr>
              <w:bidi w:val="1"/>
              <w:spacing w:before="0" w:after="0" w:line="276" w:lineRule="auto"/>
            </w:pPr>
            <w:r>
              <w:rPr>
                <w:rFonts w:ascii="Arial" w:hAnsi="Arial" w:cs="Arial" w:eastAsia="Arial"/>
                <w:b/>
                <w:bCs/>
                <w:color w:val="0E1E3A"/>
                <w:sz w:val="18"/>
                <w:szCs w:val="18"/>
                <w:rtl/>
              </w:rPr>
              <w:t>329,079,031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سبتمبر 2023م</w:t>
            </w:r>
          </w:p>
        </w:tc>
        <w:tc>
          <w:tcPr>
            <w:tcW w:type="dxa" w:w="6860"/>
          </w:tcPr>
          <w:p>
            <w:pPr>
              <w:bidi w:val="1"/>
              <w:spacing w:before="0" w:after="0" w:line="276" w:lineRule="auto"/>
            </w:pPr>
            <w:r>
              <w:rPr>
                <w:rFonts w:ascii="Arial" w:hAnsi="Arial" w:cs="Arial" w:eastAsia="Arial"/>
                <w:b/>
                <w:bCs/>
                <w:color w:val="0E1E3A"/>
                <w:sz w:val="18"/>
                <w:szCs w:val="18"/>
                <w:rtl/>
              </w:rPr>
              <w:t>329,551,846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2023م</w:t>
            </w:r>
          </w:p>
        </w:tc>
        <w:tc>
          <w:tcPr>
            <w:tcW w:type="dxa" w:w="6860"/>
          </w:tcPr>
          <w:p>
            <w:pPr>
              <w:bidi w:val="1"/>
              <w:spacing w:before="0" w:after="0" w:line="276" w:lineRule="auto"/>
            </w:pPr>
            <w:r>
              <w:rPr>
                <w:rFonts w:ascii="Arial" w:hAnsi="Arial" w:cs="Arial" w:eastAsia="Arial"/>
                <w:b/>
                <w:bCs/>
                <w:color w:val="0E1E3A"/>
                <w:sz w:val="18"/>
                <w:szCs w:val="18"/>
                <w:rtl/>
              </w:rPr>
              <w:t>335,698,437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2" name="Picture 9036"/>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91892"/>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الرابع (31 ديسمبر 2023م)</w:t>
            </w:r>
          </w:p>
        </w:tc>
        <w:tc>
          <w:tcPr>
            <w:tcW w:type="dxa" w:w="6860"/>
          </w:tcPr>
          <w:p>
            <w:pPr>
              <w:bidi w:val="1"/>
              <w:spacing w:before="0" w:after="0" w:line="276" w:lineRule="auto"/>
            </w:pPr>
            <w:r>
              <w:rPr>
                <w:rFonts w:ascii="Arial" w:hAnsi="Arial" w:cs="Arial" w:eastAsia="Arial"/>
                <w:b/>
                <w:bCs/>
                <w:color w:val="0E1E3A"/>
                <w:sz w:val="18"/>
                <w:szCs w:val="18"/>
                <w:rtl/>
              </w:rPr>
              <w:t>7.10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 (من تاريخ 30 سبتمبر 2023م إلى 31 ديسمبر2023م)*</w:t>
            </w:r>
          </w:p>
        </w:tc>
        <w:tc>
          <w:tcPr>
            <w:tcW w:type="dxa" w:w="6860"/>
          </w:tcPr>
          <w:p>
            <w:pPr>
              <w:bidi w:val="1"/>
              <w:spacing w:before="0" w:after="0" w:line="276" w:lineRule="auto"/>
            </w:pPr>
            <w:r>
              <w:rPr>
                <w:rFonts w:ascii="Arial" w:hAnsi="Arial" w:cs="Arial" w:eastAsia="Arial"/>
                <w:b/>
                <w:bCs/>
                <w:color w:val="0E1E3A"/>
                <w:sz w:val="18"/>
                <w:szCs w:val="18"/>
              </w:rPr>
              <w:t>‎1.87%‎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الرابع 2023م)</w:t>
            </w:r>
          </w:p>
        </w:tc>
        <w:tc>
          <w:tcPr>
            <w:tcW w:type="dxa" w:w="6860"/>
          </w:tcPr>
          <w:p>
            <w:pPr>
              <w:bidi w:val="1"/>
              <w:spacing w:before="0" w:after="0" w:line="276" w:lineRule="auto"/>
            </w:pPr>
            <w:r>
              <w:rPr>
                <w:rFonts w:ascii="Arial" w:hAnsi="Arial" w:cs="Arial" w:eastAsia="Arial"/>
                <w:b/>
                <w:bCs/>
                <w:color w:val="0E1E3A"/>
                <w:sz w:val="18"/>
                <w:szCs w:val="18"/>
              </w:rPr>
              <w:t>‎-29.00%‎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8.95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5.97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بتاريخ 30 سبتمبر 2023م = 6.97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38"/>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سيقوم مدير الصندوق بتوزيع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الأرباح نصف السنوية المستلمة من عوائد استثمارات الصندوق بعد خصم المصروفات من مالكي الوحدات مرتين في السنة، على أن تكون التوزيعات خلال شهري أغسطس وفبراير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الربع المعني*</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w:t>
            </w:r>
          </w:p>
        </w:tc>
        <w:tc>
          <w:tcPr>
            <w:tcW w:type="dxa" w:w="6860"/>
          </w:tcPr>
          <w:p>
            <w:pPr>
              <w:bidi w:val="1"/>
              <w:spacing w:before="0" w:after="0" w:line="276" w:lineRule="auto"/>
            </w:pPr>
            <w:r>
              <w:rPr>
                <w:rFonts w:ascii="Arial" w:hAnsi="Arial" w:cs="Arial" w:eastAsia="Arial"/>
                <w:b/>
                <w:bCs/>
                <w:color w:val="0E1E3A"/>
                <w:sz w:val="18"/>
                <w:szCs w:val="18"/>
                <w:rtl/>
              </w:rPr>
              <w:t>13,238,812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0.28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tl/>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tl/>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11,466,739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(31 ديسمبر 2023م)</w:t>
            </w:r>
          </w:p>
        </w:tc>
        <w:tc>
          <w:tcPr>
            <w:tcW w:type="dxa" w:w="6860"/>
          </w:tcPr>
          <w:p>
            <w:pPr>
              <w:bidi w:val="1"/>
              <w:spacing w:before="0" w:after="0" w:line="276" w:lineRule="auto"/>
            </w:pPr>
            <w:r>
              <w:rPr>
                <w:rFonts w:ascii="Arial" w:hAnsi="Arial" w:cs="Arial" w:eastAsia="Arial"/>
                <w:b/>
                <w:bCs/>
                <w:color w:val="0E1E3A"/>
                <w:sz w:val="18"/>
                <w:szCs w:val="18"/>
              </w:rPr>
              <w:t>‎3.42%‎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1 أكتوبر 2023م إلى 31 ديسمبر 2023م.</w:t>
      </w:r>
      <w:r>
        <w:br/>
      </w:r>
      <w:r>
        <w:rPr>
          <w:rFonts w:ascii="Arial" w:hAnsi="Arial" w:cs="Arial" w:eastAsia="Arial"/>
          <w:color w:val="5A6478"/>
          <w:sz w:val="17"/>
          <w:szCs w:val="17"/>
          <w:rtl/>
        </w:rPr>
        <w:t>** من 1 يناير 2023م إلى 30 يونيو 2023م.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معدل فائدة التمويل المضمون لليلة واحدة (SOFR) لمدة 12 شهر زائد 300 نقطة أساس*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 **</w:t>
            </w:r>
          </w:p>
        </w:tc>
        <w:tc>
          <w:tcPr>
            <w:tcW w:type="dxa" w:w="6860"/>
          </w:tcPr>
          <w:p>
            <w:pPr>
              <w:bidi w:val="1"/>
              <w:spacing w:before="0" w:after="0" w:line="276" w:lineRule="auto"/>
            </w:pPr>
            <w:r>
              <w:rPr>
                <w:rFonts w:ascii="Arial" w:hAnsi="Arial" w:cs="Arial" w:eastAsia="Arial"/>
                <w:b/>
                <w:bCs/>
                <w:color w:val="0E1E3A"/>
                <w:sz w:val="18"/>
                <w:szCs w:val="18"/>
              </w:rPr>
              <w:t>‎1.87%‎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 ***</w:t>
            </w:r>
          </w:p>
        </w:tc>
        <w:tc>
          <w:tcPr>
            <w:tcW w:type="dxa" w:w="6860"/>
          </w:tcPr>
          <w:p>
            <w:pPr>
              <w:bidi w:val="1"/>
              <w:spacing w:before="0" w:after="0" w:line="276" w:lineRule="auto"/>
            </w:pPr>
            <w:r>
              <w:rPr>
                <w:rFonts w:ascii="Arial" w:hAnsi="Arial" w:cs="Arial" w:eastAsia="Arial"/>
                <w:b/>
                <w:bCs/>
                <w:color w:val="0E1E3A"/>
                <w:sz w:val="18"/>
                <w:szCs w:val="18"/>
              </w:rPr>
              <w:t>‎-29.00%‎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 ****</w:t>
            </w:r>
          </w:p>
        </w:tc>
        <w:tc>
          <w:tcPr>
            <w:tcW w:type="dxa" w:w="6860"/>
          </w:tcPr>
          <w:p>
            <w:pPr>
              <w:bidi w:val="1"/>
              <w:spacing w:before="0" w:after="0" w:line="276" w:lineRule="auto"/>
            </w:pPr>
            <w:r>
              <w:rPr>
                <w:rFonts w:ascii="Arial" w:hAnsi="Arial" w:cs="Arial" w:eastAsia="Arial"/>
                <w:b/>
                <w:bCs/>
                <w:color w:val="0E1E3A"/>
                <w:sz w:val="18"/>
                <w:szCs w:val="18"/>
              </w:rPr>
              <w:t>‎-16.09%‎</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في 16 مايو 2023م، قام الصندوق بتغيير مؤشره الاسترشادي من سعر فائدة الإقراض بين مصارف لندن (ليبور) لمدة 12 شهرًا زائد 300 نقطة أساس إلى سعر فائدة التمويل المضمون لليلة واحدة لمدة 12 شهرا زائد 300 نقطة أساس.</w:t>
      </w:r>
      <w:r>
        <w:br/>
      </w:r>
      <w:r>
        <w:rPr>
          <w:rFonts w:ascii="Arial" w:hAnsi="Arial" w:cs="Arial" w:eastAsia="Arial"/>
          <w:color w:val="5A6478"/>
          <w:sz w:val="17"/>
          <w:szCs w:val="17"/>
          <w:rtl/>
        </w:rPr>
        <w:t>** سعر الوحدة كما في 30 سبتمبر 2023م = 6.97 ر.س.</w:t>
      </w:r>
      <w:r>
        <w:br/>
      </w:r>
      <w:r>
        <w:rPr>
          <w:rFonts w:ascii="Arial" w:hAnsi="Arial" w:cs="Arial" w:eastAsia="Arial"/>
          <w:color w:val="5A6478"/>
          <w:sz w:val="17"/>
          <w:szCs w:val="17"/>
          <w:rtl/>
        </w:rPr>
        <w:t>*** من تاريخ بدء الصندوق إلى نهاية الربع الثالث من العام 2023م.</w:t>
      </w:r>
      <w:r>
        <w:br/>
      </w:r>
      <w:r>
        <w:rPr>
          <w:rFonts w:ascii="Arial" w:hAnsi="Arial" w:cs="Arial" w:eastAsia="Arial"/>
          <w:color w:val="5A6478"/>
          <w:sz w:val="17"/>
          <w:szCs w:val="17"/>
          <w:rtl/>
        </w:rPr>
        <w:t>**** العائد الكلي = أداء سعر الوحدة + إجمالي الأرباح الموزعة (إن وجدت).</w:t>
      </w:r>
      <w:r>
        <w:br/>
      </w:r>
      <w:r>
        <w:rPr>
          <w:rFonts w:ascii="Arial" w:hAnsi="Arial" w:cs="Arial" w:eastAsia="Arial"/>
          <w:color w:val="5A6478"/>
          <w:sz w:val="17"/>
          <w:szCs w:val="17"/>
          <w:rtl/>
        </w:rPr>
        <w:t>ملاحظة: يجب الإحاطة بأن سعر الوحدة في السوق المالية يخضع للارتفاع والانخفاض بناء على عوامل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المؤشر الاسترشادي للصندوق هو مؤشر معدل فائدة التمويل المضمون لليلة واحدة (SOFR) لمدة 12 شهر زائد 300 نقطة أساس.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41"/>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معدل فائدة التمويل المضمون لليلة واحدة لمدة 12 شهر زائد 300 نقطة أساس*</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9.7595</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9.9193</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‎1.64%‎</w:t>
            </w:r>
          </w:p>
        </w:tc>
        <w:tc>
          <w:tcPr>
            <w:tcW w:type="dxa" w:w="3326"/>
          </w:tcPr>
          <w:p>
            <w:pPr>
              <w:bidi w:val="1"/>
              <w:spacing w:before="0" w:after="0" w:line="264" w:lineRule="auto"/>
            </w:pPr>
            <w:r>
              <w:rPr>
                <w:rFonts w:ascii="Arial" w:hAnsi="Arial" w:cs="Arial" w:eastAsia="Arial"/>
                <w:color w:val="0E1E3A"/>
                <w:sz w:val="17"/>
                <w:szCs w:val="17"/>
              </w:rPr>
              <w:t>‎2.00%‎</w:t>
            </w:r>
            <w:r>
              <w:rPr>
                <w:rFonts w:ascii="Arial" w:hAnsi="Arial" w:cs="Arial" w:eastAsia="Arial"/>
                <w:color w:val="0E1E3A"/>
                <w:sz w:val="17"/>
                <w:szCs w:val="17"/>
                <w:rtl/>
              </w:rPr>
              <w:t>****</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في 16 مايو 2023م، قام الصندوق بتغيير مؤشره الاسترشادي من سعر فائدة الإقراض بين مصارف لندن (ليبور) لمدة 12 شهرًا زائد 300 نقطة أساس إلى سعر فائدة التمويل المضمون لليلة واحدة لمدة 12 شهرا زائد 300 نقطة أساس.</w:t>
      </w:r>
      <w:r>
        <w:br/>
      </w:r>
      <w:r>
        <w:rPr>
          <w:rFonts w:ascii="Arial" w:hAnsi="Arial" w:cs="Arial" w:eastAsia="Arial"/>
          <w:color w:val="5A6478"/>
          <w:sz w:val="17"/>
          <w:szCs w:val="17"/>
          <w:rtl/>
        </w:rPr>
        <w:t>** كما في تاريخ 30 سبتمبر 2023م.</w:t>
      </w:r>
      <w:r>
        <w:br/>
      </w:r>
      <w:r>
        <w:rPr>
          <w:rFonts w:ascii="Arial" w:hAnsi="Arial" w:cs="Arial" w:eastAsia="Arial"/>
          <w:color w:val="5A6478"/>
          <w:sz w:val="17"/>
          <w:szCs w:val="17"/>
          <w:rtl/>
        </w:rPr>
        <w:t>*** كما في تاريخ 31 ديسمبر 2023م.</w:t>
      </w:r>
      <w:r>
        <w:br/>
      </w:r>
      <w:r>
        <w:rPr>
          <w:rFonts w:ascii="Arial" w:hAnsi="Arial" w:cs="Arial" w:eastAsia="Arial"/>
          <w:color w:val="5A6478"/>
          <w:sz w:val="17"/>
          <w:szCs w:val="17"/>
          <w:rtl/>
        </w:rPr>
        <w:t xml:space="preserve">**** متوسط أداء المؤشر الاسترشادي يعادل </w:t>
      </w:r>
      <w:r>
        <w:rPr>
          <w:rFonts w:ascii="Arial" w:hAnsi="Arial" w:cs="Arial" w:eastAsia="Arial"/>
          <w:color w:val="5A6478"/>
          <w:sz w:val="17"/>
          <w:szCs w:val="17"/>
        </w:rPr>
        <w:t>‎8.22%‎</w:t>
      </w:r>
      <w:r>
        <w:rPr>
          <w:rFonts w:ascii="Arial" w:hAnsi="Arial" w:cs="Arial" w:eastAsia="Arial"/>
          <w:color w:val="5A6478"/>
          <w:sz w:val="17"/>
          <w:szCs w:val="17"/>
          <w:rtl/>
        </w:rPr>
        <w:t xml:space="preserve"> سنويا أي ما يعادل عائد </w:t>
      </w:r>
      <w:r>
        <w:rPr>
          <w:rFonts w:ascii="Arial" w:hAnsi="Arial" w:cs="Arial" w:eastAsia="Arial"/>
          <w:color w:val="5A6478"/>
          <w:sz w:val="17"/>
          <w:szCs w:val="17"/>
        </w:rPr>
        <w:t>‎2.00%‎</w:t>
      </w:r>
      <w:r>
        <w:rPr>
          <w:rFonts w:ascii="Arial" w:hAnsi="Arial" w:cs="Arial" w:eastAsia="Arial"/>
          <w:color w:val="5A6478"/>
          <w:sz w:val="17"/>
          <w:szCs w:val="17"/>
          <w:rtl/>
        </w:rPr>
        <w:t xml:space="preserve"> للربع المعني.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43"/>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إلى صافي قيمة الوحدة "أداء الصندوق"</w:t>
            </w:r>
          </w:p>
        </w:tc>
        <w:tc>
          <w:tcPr>
            <w:tcW w:type="dxa" w:w="1663"/>
          </w:tcPr>
          <w:p>
            <w:pPr>
              <w:bidi w:val="1"/>
              <w:spacing w:before="0" w:after="0" w:line="264" w:lineRule="auto"/>
            </w:pPr>
            <w:r>
              <w:rPr>
                <w:rFonts w:ascii="Arial" w:hAnsi="Arial" w:cs="Arial" w:eastAsia="Arial"/>
                <w:color w:val="0E1E3A"/>
                <w:sz w:val="17"/>
                <w:szCs w:val="17"/>
              </w:rPr>
              <w:t>‎1.64%‎</w:t>
            </w:r>
          </w:p>
        </w:tc>
        <w:tc>
          <w:tcPr>
            <w:tcW w:type="dxa" w:w="1663"/>
          </w:tcPr>
          <w:p>
            <w:pPr>
              <w:bidi w:val="1"/>
              <w:spacing w:before="0" w:after="0" w:line="264" w:lineRule="auto"/>
            </w:pPr>
            <w:r>
              <w:rPr>
                <w:rFonts w:ascii="Arial" w:hAnsi="Arial" w:cs="Arial" w:eastAsia="Arial"/>
                <w:color w:val="0E1E3A"/>
                <w:sz w:val="17"/>
                <w:szCs w:val="17"/>
              </w:rPr>
              <w:t>‎5.53%‎</w:t>
            </w:r>
          </w:p>
        </w:tc>
        <w:tc>
          <w:tcPr>
            <w:tcW w:type="dxa" w:w="1663"/>
          </w:tcPr>
          <w:p>
            <w:pPr>
              <w:bidi w:val="1"/>
              <w:spacing w:before="0" w:after="0" w:line="264" w:lineRule="auto"/>
            </w:pPr>
            <w:r>
              <w:rPr>
                <w:rFonts w:ascii="Arial" w:hAnsi="Arial" w:cs="Arial" w:eastAsia="Arial"/>
                <w:color w:val="0E1E3A"/>
                <w:sz w:val="17"/>
                <w:szCs w:val="17"/>
              </w:rPr>
              <w:t>‎5.53%‎</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‎2.00%‎</w:t>
            </w:r>
          </w:p>
        </w:tc>
        <w:tc>
          <w:tcPr>
            <w:tcW w:type="dxa" w:w="1663"/>
          </w:tcPr>
          <w:p>
            <w:pPr>
              <w:bidi w:val="1"/>
              <w:spacing w:before="0" w:after="0" w:line="264" w:lineRule="auto"/>
            </w:pPr>
            <w:r>
              <w:rPr>
                <w:rFonts w:ascii="Arial" w:hAnsi="Arial" w:cs="Arial" w:eastAsia="Arial"/>
                <w:color w:val="0E1E3A"/>
                <w:sz w:val="17"/>
                <w:szCs w:val="17"/>
              </w:rPr>
              <w:t>‎8.32%‎</w:t>
            </w:r>
          </w:p>
        </w:tc>
        <w:tc>
          <w:tcPr>
            <w:tcW w:type="dxa" w:w="1663"/>
          </w:tcPr>
          <w:p>
            <w:pPr>
              <w:bidi w:val="1"/>
              <w:spacing w:before="0" w:after="0" w:line="264" w:lineRule="auto"/>
            </w:pPr>
            <w:r>
              <w:rPr>
                <w:rFonts w:ascii="Arial" w:hAnsi="Arial" w:cs="Arial" w:eastAsia="Arial"/>
                <w:color w:val="0E1E3A"/>
                <w:sz w:val="17"/>
                <w:szCs w:val="17"/>
              </w:rPr>
              <w:t>‎8.32%‎</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‎-0.36%‎</w:t>
            </w:r>
          </w:p>
        </w:tc>
        <w:tc>
          <w:tcPr>
            <w:tcW w:type="dxa" w:w="1663"/>
          </w:tcPr>
          <w:p>
            <w:pPr>
              <w:bidi w:val="1"/>
              <w:spacing w:before="0" w:after="0" w:line="264" w:lineRule="auto"/>
            </w:pPr>
            <w:r>
              <w:rPr>
                <w:rFonts w:ascii="Arial" w:hAnsi="Arial" w:cs="Arial" w:eastAsia="Arial"/>
                <w:color w:val="0E1E3A"/>
                <w:sz w:val="17"/>
                <w:szCs w:val="17"/>
              </w:rPr>
              <w:t>‎-2.79%‎</w:t>
            </w:r>
          </w:p>
        </w:tc>
        <w:tc>
          <w:tcPr>
            <w:tcW w:type="dxa" w:w="1663"/>
          </w:tcPr>
          <w:p>
            <w:pPr>
              <w:bidi w:val="1"/>
              <w:spacing w:before="0" w:after="0" w:line="264" w:lineRule="auto"/>
            </w:pPr>
            <w:r>
              <w:rPr>
                <w:rFonts w:ascii="Arial" w:hAnsi="Arial" w:cs="Arial" w:eastAsia="Arial"/>
                <w:color w:val="0E1E3A"/>
                <w:sz w:val="17"/>
                <w:szCs w:val="17"/>
              </w:rPr>
              <w:t>‎-2.79%‎</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عن الفترة من 30 سبتمبر 2023م إلى 31 ديسمبر 2023م.</w:t>
      </w:r>
      <w:r>
        <w:br/>
      </w:r>
      <w:r>
        <w:rPr>
          <w:rFonts w:ascii="Arial" w:hAnsi="Arial" w:cs="Arial" w:eastAsia="Arial"/>
          <w:color w:val="5A6478"/>
          <w:sz w:val="17"/>
          <w:szCs w:val="17"/>
          <w:rtl/>
        </w:rPr>
        <w:t xml:space="preserve">** عن الفترة من 31 ديسمبر 2022م إلى 31 ديسمبر 2023م متضمنة التوزيعات النقدية بنسبة </w:t>
      </w:r>
      <w:r>
        <w:rPr>
          <w:rFonts w:ascii="Arial" w:hAnsi="Arial" w:cs="Arial" w:eastAsia="Arial"/>
          <w:color w:val="5A6478"/>
          <w:sz w:val="17"/>
          <w:szCs w:val="17"/>
        </w:rPr>
        <w:t>‎5.60%‎</w:t>
      </w:r>
      <w:r>
        <w:br/>
      </w:r>
      <w:r>
        <w:rPr>
          <w:rFonts w:ascii="Arial" w:hAnsi="Arial" w:cs="Arial" w:eastAsia="Arial"/>
          <w:color w:val="5A6478"/>
          <w:sz w:val="17"/>
          <w:szCs w:val="17"/>
          <w:rtl/>
        </w:rPr>
        <w:t xml:space="preserve">*** عن الفترة من 31 ديسمبر 2022م إلى 31 ديسمبر 2023م متضمنة توزيعات نقدية بنسبة </w:t>
      </w:r>
      <w:r>
        <w:rPr>
          <w:rFonts w:ascii="Arial" w:hAnsi="Arial" w:cs="Arial" w:eastAsia="Arial"/>
          <w:color w:val="5A6478"/>
          <w:sz w:val="17"/>
          <w:szCs w:val="17"/>
        </w:rPr>
        <w:t>‎5.60%‎</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44"/>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w:t>
            </w:r>
            <w:r>
              <w:rPr>
                <w:rFonts w:ascii="Arial" w:hAnsi="Arial" w:cs="Arial" w:eastAsia="Arial"/>
                <w:b/>
                <w:bCs/>
                <w:color w:val="FFFFFF"/>
                <w:sz w:val="17"/>
                <w:szCs w:val="17"/>
                <w:rtl/>
              </w:rPr>
              <w:t>1</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w:t>
            </w:r>
            <w:r>
              <w:rPr>
                <w:rFonts w:ascii="Arial" w:hAnsi="Arial" w:cs="Arial" w:eastAsia="Arial"/>
                <w:b/>
                <w:bCs/>
                <w:color w:val="FFFFFF"/>
                <w:sz w:val="17"/>
                <w:szCs w:val="17"/>
                <w:rtl/>
              </w:rPr>
              <w:t>2</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r>
              <w:rPr>
                <w:rFonts w:ascii="Arial" w:hAnsi="Arial" w:cs="Arial" w:eastAsia="Arial"/>
                <w:b/>
                <w:bCs/>
                <w:color w:val="FFFFFF"/>
                <w:sz w:val="17"/>
                <w:szCs w:val="17"/>
                <w:rtl/>
              </w:rPr>
              <w:t>3</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w:t>
            </w:r>
            <w:r>
              <w:rPr>
                <w:rFonts w:ascii="Arial" w:hAnsi="Arial" w:cs="Arial" w:eastAsia="Arial"/>
                <w:color w:val="0E1E3A"/>
                <w:sz w:val="17"/>
                <w:szCs w:val="17"/>
                <w:rtl/>
              </w:rPr>
              <w:t>4</w:t>
            </w:r>
          </w:p>
        </w:tc>
        <w:tc>
          <w:tcPr>
            <w:tcW w:type="dxa" w:w="1663"/>
          </w:tcPr>
          <w:p>
            <w:pPr>
              <w:bidi w:val="1"/>
              <w:spacing w:before="0" w:after="0" w:line="264" w:lineRule="auto"/>
            </w:pPr>
            <w:r>
              <w:rPr>
                <w:rFonts w:ascii="Arial" w:hAnsi="Arial" w:cs="Arial" w:eastAsia="Arial"/>
                <w:color w:val="0E1E3A"/>
                <w:sz w:val="17"/>
                <w:szCs w:val="17"/>
                <w:rtl/>
              </w:rPr>
              <w:t>11.02</w:t>
            </w:r>
          </w:p>
        </w:tc>
        <w:tc>
          <w:tcPr>
            <w:tcW w:type="dxa" w:w="1663"/>
          </w:tcPr>
          <w:p>
            <w:pPr>
              <w:bidi w:val="1"/>
              <w:spacing w:before="0" w:after="0" w:line="264" w:lineRule="auto"/>
            </w:pPr>
            <w:r>
              <w:rPr>
                <w:rFonts w:ascii="Arial" w:hAnsi="Arial" w:cs="Arial" w:eastAsia="Arial"/>
                <w:color w:val="0E1E3A"/>
                <w:sz w:val="17"/>
                <w:szCs w:val="17"/>
                <w:rtl/>
              </w:rPr>
              <w:t>17.24</w:t>
            </w:r>
          </w:p>
        </w:tc>
        <w:tc>
          <w:tcPr>
            <w:tcW w:type="dxa" w:w="1663"/>
          </w:tcPr>
          <w:p>
            <w:pPr>
              <w:bidi w:val="1"/>
              <w:spacing w:before="0" w:after="0" w:line="264" w:lineRule="auto"/>
            </w:pPr>
            <w:r>
              <w:rPr>
                <w:rFonts w:ascii="Arial" w:hAnsi="Arial" w:cs="Arial" w:eastAsia="Arial"/>
                <w:color w:val="0E1E3A"/>
                <w:sz w:val="17"/>
                <w:szCs w:val="17"/>
                <w:rtl/>
              </w:rPr>
              <w:t>17.24</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w:t>
            </w:r>
            <w:r>
              <w:rPr>
                <w:rFonts w:ascii="Arial" w:hAnsi="Arial" w:cs="Arial" w:eastAsia="Arial"/>
                <w:color w:val="0E1E3A"/>
                <w:sz w:val="17"/>
                <w:szCs w:val="17"/>
                <w:rtl/>
              </w:rPr>
              <w:t>5</w:t>
            </w:r>
          </w:p>
        </w:tc>
        <w:tc>
          <w:tcPr>
            <w:tcW w:type="dxa" w:w="1663"/>
          </w:tcPr>
          <w:p>
            <w:pPr>
              <w:bidi w:val="1"/>
              <w:spacing w:before="0" w:after="0" w:line="264" w:lineRule="auto"/>
            </w:pPr>
            <w:r>
              <w:rPr>
                <w:rFonts w:ascii="Arial" w:hAnsi="Arial" w:cs="Arial" w:eastAsia="Arial"/>
                <w:color w:val="0E1E3A"/>
                <w:sz w:val="17"/>
                <w:szCs w:val="17"/>
                <w:rtl/>
              </w:rPr>
              <w:t>-0.42</w:t>
            </w:r>
          </w:p>
        </w:tc>
        <w:tc>
          <w:tcPr>
            <w:tcW w:type="dxa" w:w="1663"/>
          </w:tcPr>
          <w:p>
            <w:pPr>
              <w:bidi w:val="1"/>
              <w:spacing w:before="0" w:after="0" w:line="264" w:lineRule="auto"/>
            </w:pPr>
            <w:r>
              <w:rPr>
                <w:rFonts w:ascii="Arial" w:hAnsi="Arial" w:cs="Arial" w:eastAsia="Arial"/>
                <w:color w:val="0E1E3A"/>
                <w:sz w:val="17"/>
                <w:szCs w:val="17"/>
                <w:rtl/>
              </w:rPr>
              <w:t>1.29</w:t>
            </w:r>
          </w:p>
        </w:tc>
        <w:tc>
          <w:tcPr>
            <w:tcW w:type="dxa" w:w="1663"/>
          </w:tcPr>
          <w:p>
            <w:pPr>
              <w:bidi w:val="1"/>
              <w:spacing w:before="0" w:after="0" w:line="264" w:lineRule="auto"/>
            </w:pPr>
            <w:r>
              <w:rPr>
                <w:rFonts w:ascii="Arial" w:hAnsi="Arial" w:cs="Arial" w:eastAsia="Arial"/>
                <w:color w:val="0E1E3A"/>
                <w:sz w:val="17"/>
                <w:szCs w:val="17"/>
                <w:rtl/>
              </w:rPr>
              <w:t>1.29</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w:t>
            </w:r>
            <w:r>
              <w:rPr>
                <w:rFonts w:ascii="Arial" w:hAnsi="Arial" w:cs="Arial" w:eastAsia="Arial"/>
                <w:color w:val="0E1E3A"/>
                <w:sz w:val="17"/>
                <w:szCs w:val="17"/>
                <w:rtl/>
              </w:rPr>
              <w:t>6</w:t>
            </w:r>
          </w:p>
        </w:tc>
        <w:tc>
          <w:tcPr>
            <w:tcW w:type="dxa" w:w="1663"/>
          </w:tcPr>
          <w:p>
            <w:pPr>
              <w:bidi w:val="1"/>
              <w:spacing w:before="0" w:after="0" w:line="264" w:lineRule="auto"/>
            </w:pPr>
            <w:r>
              <w:rPr>
                <w:rFonts w:ascii="Arial" w:hAnsi="Arial" w:cs="Arial" w:eastAsia="Arial"/>
                <w:color w:val="0E1E3A"/>
                <w:sz w:val="17"/>
                <w:szCs w:val="17"/>
                <w:rtl/>
              </w:rPr>
              <w:t>11.54</w:t>
            </w:r>
          </w:p>
        </w:tc>
        <w:tc>
          <w:tcPr>
            <w:tcW w:type="dxa" w:w="1663"/>
          </w:tcPr>
          <w:p>
            <w:pPr>
              <w:bidi w:val="1"/>
              <w:spacing w:before="0" w:after="0" w:line="264" w:lineRule="auto"/>
            </w:pPr>
            <w:r>
              <w:rPr>
                <w:rFonts w:ascii="Arial" w:hAnsi="Arial" w:cs="Arial" w:eastAsia="Arial"/>
                <w:color w:val="0E1E3A"/>
                <w:sz w:val="17"/>
                <w:szCs w:val="17"/>
                <w:rtl/>
              </w:rPr>
              <w:t>17.33</w:t>
            </w:r>
          </w:p>
        </w:tc>
        <w:tc>
          <w:tcPr>
            <w:tcW w:type="dxa" w:w="1663"/>
          </w:tcPr>
          <w:p>
            <w:pPr>
              <w:bidi w:val="1"/>
              <w:spacing w:before="0" w:after="0" w:line="264" w:lineRule="auto"/>
            </w:pPr>
            <w:r>
              <w:rPr>
                <w:rFonts w:ascii="Arial" w:hAnsi="Arial" w:cs="Arial" w:eastAsia="Arial"/>
                <w:color w:val="0E1E3A"/>
                <w:sz w:val="17"/>
                <w:szCs w:val="17"/>
                <w:rtl/>
              </w:rPr>
              <w:t>17.33</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w:t>
            </w:r>
            <w:r>
              <w:rPr>
                <w:rFonts w:ascii="Arial" w:hAnsi="Arial" w:cs="Arial" w:eastAsia="Arial"/>
                <w:color w:val="0E1E3A"/>
                <w:sz w:val="17"/>
                <w:szCs w:val="17"/>
                <w:rtl/>
              </w:rPr>
              <w:t>7</w:t>
            </w:r>
          </w:p>
        </w:tc>
        <w:tc>
          <w:tcPr>
            <w:tcW w:type="dxa" w:w="1663"/>
          </w:tcPr>
          <w:p>
            <w:pPr>
              <w:bidi w:val="1"/>
              <w:spacing w:before="0" w:after="0" w:line="264" w:lineRule="auto"/>
            </w:pPr>
            <w:r>
              <w:rPr>
                <w:rFonts w:ascii="Arial" w:hAnsi="Arial" w:cs="Arial" w:eastAsia="Arial"/>
                <w:color w:val="0E1E3A"/>
                <w:sz w:val="17"/>
                <w:szCs w:val="17"/>
                <w:rtl/>
              </w:rPr>
              <w:t>-1.90</w:t>
            </w:r>
          </w:p>
        </w:tc>
        <w:tc>
          <w:tcPr>
            <w:tcW w:type="dxa" w:w="1663"/>
          </w:tcPr>
          <w:p>
            <w:pPr>
              <w:bidi w:val="1"/>
              <w:spacing w:before="0" w:after="0" w:line="264" w:lineRule="auto"/>
            </w:pPr>
            <w:r>
              <w:rPr>
                <w:rFonts w:ascii="Arial" w:hAnsi="Arial" w:cs="Arial" w:eastAsia="Arial"/>
                <w:color w:val="0E1E3A"/>
                <w:sz w:val="17"/>
                <w:szCs w:val="17"/>
                <w:rtl/>
              </w:rPr>
              <w:t>-2.08</w:t>
            </w:r>
          </w:p>
        </w:tc>
        <w:tc>
          <w:tcPr>
            <w:tcW w:type="dxa" w:w="1663"/>
          </w:tcPr>
          <w:p>
            <w:pPr>
              <w:bidi w:val="1"/>
              <w:spacing w:before="0" w:after="0" w:line="264" w:lineRule="auto"/>
            </w:pPr>
            <w:r>
              <w:rPr>
                <w:rFonts w:ascii="Arial" w:hAnsi="Arial" w:cs="Arial" w:eastAsia="Arial"/>
                <w:color w:val="0E1E3A"/>
                <w:sz w:val="17"/>
                <w:szCs w:val="17"/>
                <w:rtl/>
              </w:rPr>
              <w:t>-2.08</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w:t>
            </w:r>
            <w:r>
              <w:rPr>
                <w:rFonts w:ascii="Arial" w:hAnsi="Arial" w:cs="Arial" w:eastAsia="Arial"/>
                <w:color w:val="0E1E3A"/>
                <w:sz w:val="17"/>
                <w:szCs w:val="17"/>
                <w:rtl/>
              </w:rPr>
              <w:t>8</w:t>
            </w:r>
          </w:p>
        </w:tc>
        <w:tc>
          <w:tcPr>
            <w:tcW w:type="dxa" w:w="1663"/>
          </w:tcPr>
          <w:p>
            <w:pPr>
              <w:bidi w:val="1"/>
              <w:spacing w:before="0" w:after="0" w:line="264" w:lineRule="auto"/>
            </w:pPr>
            <w:r>
              <w:rPr>
                <w:rFonts w:ascii="Arial" w:hAnsi="Arial" w:cs="Arial" w:eastAsia="Arial"/>
                <w:color w:val="0E1E3A"/>
                <w:sz w:val="17"/>
                <w:szCs w:val="17"/>
                <w:rtl/>
              </w:rPr>
              <w:t>-7.56</w:t>
            </w:r>
          </w:p>
        </w:tc>
        <w:tc>
          <w:tcPr>
            <w:tcW w:type="dxa" w:w="1663"/>
          </w:tcPr>
          <w:p>
            <w:pPr>
              <w:bidi w:val="1"/>
              <w:spacing w:before="0" w:after="0" w:line="264" w:lineRule="auto"/>
            </w:pPr>
            <w:r>
              <w:rPr>
                <w:rFonts w:ascii="Arial" w:hAnsi="Arial" w:cs="Arial" w:eastAsia="Arial"/>
                <w:color w:val="0E1E3A"/>
                <w:sz w:val="17"/>
                <w:szCs w:val="17"/>
                <w:rtl/>
              </w:rPr>
              <w:t>16.28</w:t>
            </w:r>
          </w:p>
        </w:tc>
        <w:tc>
          <w:tcPr>
            <w:tcW w:type="dxa" w:w="1663"/>
          </w:tcPr>
          <w:p>
            <w:pPr>
              <w:bidi w:val="1"/>
              <w:spacing w:before="0" w:after="0" w:line="264" w:lineRule="auto"/>
            </w:pPr>
            <w:r>
              <w:rPr>
                <w:rFonts w:ascii="Arial" w:hAnsi="Arial" w:cs="Arial" w:eastAsia="Arial"/>
                <w:color w:val="0E1E3A"/>
                <w:sz w:val="17"/>
                <w:szCs w:val="17"/>
                <w:rtl/>
              </w:rPr>
              <w:t>16.28</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w:t>
            </w:r>
            <w:r>
              <w:rPr>
                <w:rFonts w:ascii="Arial" w:hAnsi="Arial" w:cs="Arial" w:eastAsia="Arial"/>
                <w:color w:val="0E1E3A"/>
                <w:sz w:val="17"/>
                <w:szCs w:val="17"/>
                <w:rtl/>
              </w:rPr>
              <w:t>9</w:t>
            </w:r>
          </w:p>
        </w:tc>
        <w:tc>
          <w:tcPr>
            <w:tcW w:type="dxa" w:w="1663"/>
          </w:tcPr>
          <w:p>
            <w:pPr>
              <w:bidi w:val="1"/>
              <w:spacing w:before="0" w:after="0" w:line="264" w:lineRule="auto"/>
            </w:pPr>
            <w:r>
              <w:rPr>
                <w:rFonts w:ascii="Arial" w:hAnsi="Arial" w:cs="Arial" w:eastAsia="Arial"/>
                <w:color w:val="0E1E3A"/>
                <w:sz w:val="17"/>
                <w:szCs w:val="17"/>
                <w:rtl/>
              </w:rPr>
              <w:t>-0.66</w:t>
            </w:r>
          </w:p>
        </w:tc>
        <w:tc>
          <w:tcPr>
            <w:tcW w:type="dxa" w:w="1663"/>
          </w:tcPr>
          <w:p>
            <w:pPr>
              <w:bidi w:val="1"/>
              <w:spacing w:before="0" w:after="0" w:line="264" w:lineRule="auto"/>
            </w:pPr>
            <w:r>
              <w:rPr>
                <w:rFonts w:ascii="Arial" w:hAnsi="Arial" w:cs="Arial" w:eastAsia="Arial"/>
                <w:color w:val="0E1E3A"/>
                <w:sz w:val="17"/>
                <w:szCs w:val="17"/>
                <w:rtl/>
              </w:rPr>
              <w:t>0.94</w:t>
            </w:r>
          </w:p>
        </w:tc>
        <w:tc>
          <w:tcPr>
            <w:tcW w:type="dxa" w:w="1663"/>
          </w:tcPr>
          <w:p>
            <w:pPr>
              <w:bidi w:val="1"/>
              <w:spacing w:before="0" w:after="0" w:line="264" w:lineRule="auto"/>
            </w:pPr>
            <w:r>
              <w:rPr>
                <w:rFonts w:ascii="Arial" w:hAnsi="Arial" w:cs="Arial" w:eastAsia="Arial"/>
                <w:color w:val="0E1E3A"/>
                <w:sz w:val="17"/>
                <w:szCs w:val="17"/>
                <w:rtl/>
              </w:rPr>
              <w:t>0.94</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عن الفترة من 30 سبتمبر 2023م إلى 31 ديسمبر 2023م.</w:t>
      </w:r>
      <w:r>
        <w:br/>
      </w:r>
      <w:r>
        <w:rPr>
          <w:rFonts w:ascii="Arial" w:hAnsi="Arial" w:cs="Arial" w:eastAsia="Arial"/>
          <w:color w:val="5A6478"/>
          <w:sz w:val="17"/>
          <w:szCs w:val="17"/>
          <w:rtl/>
        </w:rPr>
        <w:t>2. عن الفترة من 31 ديسمبر 2022م إلى 31 ديسمبر 2023م.</w:t>
      </w:r>
      <w:r>
        <w:br/>
      </w:r>
      <w:r>
        <w:rPr>
          <w:rFonts w:ascii="Arial" w:hAnsi="Arial" w:cs="Arial" w:eastAsia="Arial"/>
          <w:color w:val="5A6478"/>
          <w:sz w:val="17"/>
          <w:szCs w:val="17"/>
          <w:rtl/>
        </w:rPr>
        <w:t>3. عن الفترة من 31 ديسمبر 2022م إلى 31 ديسمبر 2023م.</w:t>
      </w:r>
      <w:r>
        <w:br/>
      </w:r>
      <w:r>
        <w:rPr>
          <w:rFonts w:ascii="Arial" w:hAnsi="Arial" w:cs="Arial" w:eastAsia="Arial"/>
          <w:color w:val="5A6478"/>
          <w:sz w:val="17"/>
          <w:szCs w:val="17"/>
          <w:rtl/>
        </w:rPr>
        <w:t>4. الانحراف المعياري هو مقياس للمخاطر ويتم حسابه على أنه التذبذب بين العوائد على مدى فترة زمنية. كلما انخفض التقلب، كانت مجموعة العوائد أكثر تجانسا.</w:t>
      </w:r>
      <w:r>
        <w:br/>
      </w:r>
      <w:r>
        <w:rPr>
          <w:rFonts w:ascii="Arial" w:hAnsi="Arial" w:cs="Arial" w:eastAsia="Arial"/>
          <w:color w:val="5A6478"/>
          <w:sz w:val="17"/>
          <w:szCs w:val="17"/>
          <w:rtl/>
        </w:rPr>
        <w:t>5.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أداءه حسب المخاطر أفضل.</w:t>
      </w:r>
      <w:r>
        <w:br/>
      </w:r>
      <w:r>
        <w:rPr>
          <w:rFonts w:ascii="Arial" w:hAnsi="Arial" w:cs="Arial" w:eastAsia="Arial"/>
          <w:color w:val="5A6478"/>
          <w:sz w:val="17"/>
          <w:szCs w:val="17"/>
          <w:rtl/>
        </w:rPr>
        <w:t>6. خطأ التتبع هو مقياس للمخاطر ويتم حسابه على أنه الانحراف المعياري بين عائد مدير الصندوق وعائد المؤشر. كلما انخفض خطأ التتبع، كلما انحرف مدير الصندوق عن المؤشر.</w:t>
      </w:r>
      <w:r>
        <w:br/>
      </w:r>
      <w:r>
        <w:rPr>
          <w:rFonts w:ascii="Arial" w:hAnsi="Arial" w:cs="Arial" w:eastAsia="Arial"/>
          <w:color w:val="5A6478"/>
          <w:sz w:val="17"/>
          <w:szCs w:val="17"/>
          <w:rtl/>
        </w:rPr>
        <w:t>7.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8. ألفا يقيس أي تفوق حققه أداء الصندوق مقارنة بأداء المؤشر المرتبط به.</w:t>
      </w:r>
      <w:r>
        <w:br/>
      </w:r>
      <w:r>
        <w:rPr>
          <w:rFonts w:ascii="Arial" w:hAnsi="Arial" w:cs="Arial" w:eastAsia="Arial"/>
          <w:color w:val="5A6478"/>
          <w:sz w:val="17"/>
          <w:szCs w:val="17"/>
          <w:rtl/>
        </w:rPr>
        <w:t>9. مؤشر المعلومات هو عبارة عن مقياس أداء معدل المخاطر ويتم حسابه على أنه العائد النشط لمدير الصندوق مقسوما على خطأ التتبع الخاص به. كلما ارتفع معدل المعلومات، كلما ازدادت قدرة مدير الصندوق على تحقيق عوائد زائدة لكل وحدة من المخاطر الزائدة. تم احتساب معايير الأداء والمخاطر بناء على أسعار تداول للوحدة في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45"/>
            <wp:cNvGraphicFramePr>
              <a:graphicFrameLocks noChangeAspect="1"/>
            </wp:cNvGraphicFramePr>
            <a:graphic>
              <a:graphicData uri="http://schemas.openxmlformats.org/drawingml/2006/picture">
                <pic:pic>
                  <pic:nvPicPr>
                    <pic:cNvPr id="0" name="ico_c788ceab6c6867ef93d8dd6b26beef99.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لا يوجد مستجدات أو تغييرات أساسية أو غير أساسية تؤثر على عمل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قطاع الإجارة والتمويل التجاري والصكوك</w:t>
      </w:r>
    </w:p>
    <w:p>
      <w:pPr>
        <w:pStyle w:val="Heading3"/>
        <w:keepNext/>
        <w:bidi w:val="1"/>
        <w:spacing w:before="160" w:after="100" w:line="300" w:lineRule="auto"/>
      </w:pPr>
      <w:r>
        <w:rPr>
          <w:rFonts w:ascii="Arial" w:hAnsi="Arial" w:cs="Arial" w:eastAsia="Arial"/>
          <w:b/>
          <w:bCs/>
          <w:color w:val="12284B"/>
          <w:sz w:val="22"/>
          <w:szCs w:val="22"/>
          <w:rtl/>
        </w:rPr>
        <w:t>نظرة على قطاع الإجارة: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حافظ الاحتياطي الفدرالي الأمريكي في اجتماعه لشهر ديسمبر 2023م على سعر الفائدة الأساسي وواصل حملته للسيطرة على التضخم. ولكن على الرغم من ارتفاع أسعار الفائدة، لا تزال شركات أمريكية كثيرة تستثمر في أصول منتجة، ما يشير إلى مدى قوة حجم الطلب على تمويل إجارة المعدات.</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أظهر مؤشر التأجير والتمويل الشهري (أم أل أف آي – 25) الذي تصدره جمعية تأجير وتمويل المعدات في الولايات المتحدة الأمريكية والذي يشتمل على بيانات النشاط الاقتصادي لخمس وعشرين شركة تمثل شرائحا مختلفة من قطاع تمويل المعدات الذي تقدر قيمته بما مجموعه 1 ترليون دولار أمريكي، أن الحجم العام للأعمال الجديدة لشركات المؤشر لشهر نوفمبر 2023م قد بلغ 8.3 مليار دولار أمريكي، دون أي تغيير مقارنة بنفس الشهر من السنة السابقة، ولكن بانخفاض بنسبة </w:t>
      </w:r>
      <w:r>
        <w:rPr>
          <w:rFonts w:ascii="Arial" w:hAnsi="Arial" w:cs="Arial" w:eastAsia="Arial"/>
          <w:color w:val="0E1E3A"/>
          <w:sz w:val="20"/>
          <w:szCs w:val="20"/>
        </w:rPr>
        <w:t>‎19%‎</w:t>
      </w:r>
      <w:r>
        <w:rPr>
          <w:rFonts w:ascii="Arial" w:hAnsi="Arial" w:cs="Arial" w:eastAsia="Arial"/>
          <w:color w:val="0E1E3A"/>
          <w:sz w:val="20"/>
          <w:szCs w:val="20"/>
          <w:rtl/>
        </w:rPr>
        <w:t xml:space="preserve"> مقارنة بالشهر السابق، من 10.4 مليار دولار أمريكي في شهر أكتوبر. وقد ارتفع حجم الأعمال الجديدة التراكمي منذ بداية السنة حتى تاريخه بنسبة </w:t>
      </w:r>
      <w:r>
        <w:rPr>
          <w:rFonts w:ascii="Arial" w:hAnsi="Arial" w:cs="Arial" w:eastAsia="Arial"/>
          <w:color w:val="0E1E3A"/>
          <w:sz w:val="20"/>
          <w:szCs w:val="20"/>
        </w:rPr>
        <w:t>‎4.1%‎</w:t>
      </w:r>
      <w:r>
        <w:rPr>
          <w:rFonts w:ascii="Arial" w:hAnsi="Arial" w:cs="Arial" w:eastAsia="Arial"/>
          <w:color w:val="0E1E3A"/>
          <w:sz w:val="20"/>
          <w:szCs w:val="20"/>
          <w:rtl/>
        </w:rPr>
        <w:t xml:space="preserve"> مقارنة بالعام 2022م.</w:t>
      </w:r>
    </w:p>
    <w:p>
      <w:pPr>
        <w:pStyle w:val="Heading3"/>
        <w:keepNext/>
        <w:bidi w:val="1"/>
        <w:spacing w:before="160" w:after="100" w:line="300" w:lineRule="auto"/>
      </w:pPr>
      <w:r>
        <w:rPr>
          <w:rFonts w:ascii="Arial" w:hAnsi="Arial" w:cs="Arial" w:eastAsia="Arial"/>
          <w:b/>
          <w:bCs/>
          <w:color w:val="12284B"/>
          <w:sz w:val="22"/>
          <w:szCs w:val="22"/>
          <w:rtl/>
        </w:rPr>
        <w:t>نظرة على قطاع التمويل التجاري: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وفقا لتقرير المستجدات الذي أصدره مؤخرا مؤتمر الأمم المتحدة للتجارة والتنمية (الأونكتاد)، من المتوقع انخفاض حجم التجارة العالمية في العام 2023م بنسبة </w:t>
      </w:r>
      <w:r>
        <w:rPr>
          <w:rFonts w:ascii="Arial" w:hAnsi="Arial" w:cs="Arial" w:eastAsia="Arial"/>
          <w:color w:val="0E1E3A"/>
          <w:sz w:val="20"/>
          <w:szCs w:val="20"/>
        </w:rPr>
        <w:t>‎4.5%‎</w:t>
      </w:r>
      <w:r>
        <w:rPr>
          <w:rFonts w:ascii="Arial" w:hAnsi="Arial" w:cs="Arial" w:eastAsia="Arial"/>
          <w:color w:val="0E1E3A"/>
          <w:sz w:val="20"/>
          <w:szCs w:val="20"/>
          <w:rtl/>
        </w:rPr>
        <w:t xml:space="preserve"> مقارنة بحجمها المرتفع غير المسبوق الذي وصلت إليه في العام 2022م.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وعلى الرغم من أن الأونكتاد يتوقع انخفاض قيمة السلع المتبادلة في العام 2023م، لا يزال الاتجاه العام لحجم التجارة الدولية يشير إلى طلب عالمي قوي على المنتجات المستوردة.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اتسعت فجوة تمويل التجارة العالمية لتصل إلى 2.5 ترليون دولار أمريكي (وفقا لأحدث دراسة أجراها البنك الآسيوي للتنمية في سبتمبر 2023م)، مسجلا ارتفاعا بنسبة </w:t>
      </w:r>
      <w:r>
        <w:rPr>
          <w:rFonts w:ascii="Arial" w:hAnsi="Arial" w:cs="Arial" w:eastAsia="Arial"/>
          <w:color w:val="0E1E3A"/>
          <w:sz w:val="20"/>
          <w:szCs w:val="20"/>
        </w:rPr>
        <w:t>‎47%‎</w:t>
      </w:r>
      <w:r>
        <w:rPr>
          <w:rFonts w:ascii="Arial" w:hAnsi="Arial" w:cs="Arial" w:eastAsia="Arial"/>
          <w:color w:val="0E1E3A"/>
          <w:sz w:val="20"/>
          <w:szCs w:val="20"/>
          <w:rtl/>
        </w:rPr>
        <w:t xml:space="preserve"> مقارنة بدراسته السابقة التي قدرت حجم فجوة التمويل في العام 2020م عند 1.7 ترليون دولار أمريكي.</w:t>
      </w:r>
    </w:p>
    <w:p>
      <w:pPr>
        <w:pStyle w:val="Heading3"/>
        <w:keepNext/>
        <w:bidi w:val="1"/>
        <w:spacing w:before="160" w:after="100" w:line="300" w:lineRule="auto"/>
      </w:pPr>
      <w:r>
        <w:rPr>
          <w:rFonts w:ascii="Arial" w:hAnsi="Arial" w:cs="Arial" w:eastAsia="Arial"/>
          <w:b/>
          <w:bCs/>
          <w:color w:val="12284B"/>
          <w:sz w:val="22"/>
          <w:szCs w:val="22"/>
          <w:rtl/>
        </w:rPr>
        <w:t>نظرة على قطاع الصكوك:</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تتوقع وكالة موديز تراجع إصدارات الصكوك العالمية بنسبة </w:t>
      </w:r>
      <w:r>
        <w:rPr>
          <w:rFonts w:ascii="Arial" w:hAnsi="Arial" w:cs="Arial" w:eastAsia="Arial"/>
          <w:color w:val="0E1E3A"/>
          <w:sz w:val="20"/>
          <w:szCs w:val="20"/>
        </w:rPr>
        <w:t>‎10%‎</w:t>
      </w:r>
      <w:r>
        <w:rPr>
          <w:rFonts w:ascii="Arial" w:hAnsi="Arial" w:cs="Arial" w:eastAsia="Arial"/>
          <w:color w:val="0E1E3A"/>
          <w:sz w:val="20"/>
          <w:szCs w:val="20"/>
          <w:rtl/>
        </w:rPr>
        <w:t xml:space="preserve"> في العام 2023م نتيجة انخفاض حجم إصدارات كبار المصدرين • السياديين، حيث يؤدي ارتفاع أسعار النفط والنمو الاقتصادي المستدام إلى تعزيز الأرصدة المالية.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أما من حيث الأداء، وبعد أن شهدت أسواق الصكوك العالمية أسوأ سنة لها منذ عشرات السنين في العام 2022م، تعافت سوق الصكوك السنة الماضية. وفي العام 2023م، حقق مؤشر داو جونز للصكوك (بدون إعادة استثمار) مكاسبا بلغت </w:t>
      </w:r>
      <w:r>
        <w:rPr>
          <w:rFonts w:ascii="Arial" w:hAnsi="Arial" w:cs="Arial" w:eastAsia="Arial"/>
          <w:color w:val="0E1E3A"/>
          <w:sz w:val="20"/>
          <w:szCs w:val="20"/>
        </w:rPr>
        <w:t>‎5.53%‎</w:t>
      </w:r>
      <w:r>
        <w:rPr>
          <w:rFonts w:ascii="Arial" w:hAnsi="Arial" w:cs="Arial" w:eastAsia="Arial"/>
          <w:color w:val="0E1E3A"/>
          <w:sz w:val="20"/>
          <w:szCs w:val="20"/>
          <w:rtl/>
        </w:rPr>
        <w:t xml:space="preserve">، بينما حقق مؤشر ستاندرد آند بورز للسندات والصكوك الخليجية مكاسبا بنسبة </w:t>
      </w:r>
      <w:r>
        <w:rPr>
          <w:rFonts w:ascii="Arial" w:hAnsi="Arial" w:cs="Arial" w:eastAsia="Arial"/>
          <w:color w:val="0E1E3A"/>
          <w:sz w:val="20"/>
          <w:szCs w:val="20"/>
        </w:rPr>
        <w:t>‎5.38%‎</w:t>
      </w:r>
      <w:r>
        <w:rPr>
          <w:rFonts w:ascii="Arial" w:hAnsi="Arial" w:cs="Arial" w:eastAsia="Arial"/>
          <w:color w:val="0E1E3A"/>
          <w:sz w:val="20"/>
          <w:szCs w:val="20"/>
          <w:rtl/>
        </w:rPr>
        <w:t>.</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 منذ بدء الصندوق *</w:t>
      </w:r>
    </w:p>
    <w:p>
      <w:pPr>
        <w:bidi w:val="1"/>
        <w:spacing w:before="0" w:after="80" w:line="240" w:lineRule="auto"/>
        <w:jc w:val="center"/>
      </w:pPr>
      <w:r>
        <w:drawing>
          <wp:inline xmlns:a="http://schemas.openxmlformats.org/drawingml/2006/main" xmlns:pic="http://schemas.openxmlformats.org/drawingml/2006/picture">
            <wp:extent cx="6336000" cy="2816000"/>
            <wp:docPr id="24" name="Picture 9048"/>
            <wp:cNvGraphicFramePr>
              <a:graphicFrameLocks noChangeAspect="1"/>
            </wp:cNvGraphicFramePr>
            <a:graphic>
              <a:graphicData uri="http://schemas.openxmlformats.org/drawingml/2006/picture">
                <pic:pic>
                  <pic:nvPicPr>
                    <pic:cNvPr id="0" name="x5.j.jpg"/>
                    <pic:cNvPicPr/>
                  </pic:nvPicPr>
                  <pic:blipFill>
                    <a:blip r:embed="rId23"/>
                    <a:stretch>
                      <a:fillRect/>
                    </a:stretch>
                  </pic:blipFill>
                  <pic:spPr>
                    <a:xfrm>
                      <a:off x="0" y="0"/>
                      <a:ext cx="6336000" cy="2816000"/>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الأسعار كما في 31 ديسمبر 2023م.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4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50"/>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الرابع 2023م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