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5"/>
            <wp:cNvGraphicFramePr/>
            <a:graphic>
              <a:graphicData uri="http://schemas.openxmlformats.org/drawingml/2006/picture">
                <pic:pic>
                  <pic:nvPicPr>
                    <pic:cNvPr id="9025" name="banner902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9.9193</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502,259,793</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28,669,984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5.71%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6.11%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2023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2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are 3.1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502,259,793</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468,998,167</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w:t>
            </w:r>
          </w:p>
        </w:tc>
        <w:tc>
          <w:tcPr>
            <w:tcW w:type="dxa" w:w="6860"/>
          </w:tcPr>
          <w:p>
            <w:pPr>
              <w:spacing w:before="0" w:after="0" w:line="276" w:lineRule="auto"/>
            </w:pPr>
            <w:r>
              <w:rPr>
                <w:rFonts w:ascii="Arial" w:hAnsi="Arial" w:cs="Arial" w:eastAsia="Arial"/>
                <w:b/>
                <w:bCs/>
                <w:color w:val="0E1E3A"/>
                <w:sz w:val="18"/>
                <w:szCs w:val="18"/>
              </w:rPr>
              <w:t>0.65%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0.75%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0.81%</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3,788,240</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2023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465,221,914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104,995,325</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170,967,654</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32,609,517</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113,021,512</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80,665,785</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335,698,437</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2" name="Picture 9036"/>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2023)</w:t>
            </w:r>
          </w:p>
        </w:tc>
        <w:tc>
          <w:tcPr>
            <w:tcW w:type="dxa" w:w="6860"/>
          </w:tcPr>
          <w:p>
            <w:pPr>
              <w:spacing w:before="0" w:after="0" w:line="276" w:lineRule="auto"/>
            </w:pPr>
            <w:r>
              <w:rPr>
                <w:rFonts w:ascii="Arial" w:hAnsi="Arial" w:cs="Arial" w:eastAsia="Arial"/>
                <w:b/>
                <w:bCs/>
                <w:color w:val="0E1E3A"/>
                <w:sz w:val="18"/>
                <w:szCs w:val="18"/>
              </w:rPr>
              <w:t>SAR 7.10</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30 SEPTEMBER 2023 TO 31 DECEMBER 2023)*</w:t>
            </w:r>
          </w:p>
        </w:tc>
        <w:tc>
          <w:tcPr>
            <w:tcW w:type="dxa" w:w="6860"/>
          </w:tcPr>
          <w:p>
            <w:pPr>
              <w:spacing w:before="0" w:after="0" w:line="276" w:lineRule="auto"/>
            </w:pPr>
            <w:r>
              <w:rPr>
                <w:rFonts w:ascii="Arial" w:hAnsi="Arial" w:cs="Arial" w:eastAsia="Arial"/>
                <w:b/>
                <w:bCs/>
                <w:color w:val="0E1E3A"/>
                <w:sz w:val="18"/>
                <w:szCs w:val="18"/>
              </w:rPr>
              <w:t>1.87%</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2023)</w:t>
            </w:r>
          </w:p>
        </w:tc>
        <w:tc>
          <w:tcPr>
            <w:tcW w:type="dxa" w:w="6860"/>
          </w:tcPr>
          <w:p>
            <w:pPr>
              <w:spacing w:before="0" w:after="0" w:line="276" w:lineRule="auto"/>
            </w:pPr>
            <w:r>
              <w:rPr>
                <w:rFonts w:ascii="Arial" w:hAnsi="Arial" w:cs="Arial" w:eastAsia="Arial"/>
                <w:b/>
                <w:bCs/>
                <w:color w:val="0E1E3A"/>
                <w:sz w:val="18"/>
                <w:szCs w:val="18"/>
              </w:rPr>
              <w:t>-29.00%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8.95</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5.97</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30 September 2023 = SAR 6.97.</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8"/>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13,238,812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11,466,739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(31 DECEMBER 2023)</w:t>
            </w:r>
          </w:p>
        </w:tc>
        <w:tc>
          <w:tcPr>
            <w:tcW w:type="dxa" w:w="6860"/>
          </w:tcPr>
          <w:p>
            <w:pPr>
              <w:spacing w:before="0" w:after="0" w:line="276" w:lineRule="auto"/>
            </w:pPr>
            <w:r>
              <w:rPr>
                <w:rFonts w:ascii="Arial" w:hAnsi="Arial" w:cs="Arial" w:eastAsia="Arial"/>
                <w:b/>
                <w:bCs/>
                <w:color w:val="0E1E3A"/>
                <w:sz w:val="18"/>
                <w:szCs w:val="18"/>
              </w:rPr>
              <w:t>3.42%</w:t>
            </w:r>
          </w:p>
        </w:tc>
      </w:tr>
    </w:tbl>
    <w:p>
      <w:pPr>
        <w:spacing w:before="0" w:after="40" w:line="300" w:lineRule="auto"/>
      </w:pPr>
    </w:p>
    <w:p>
      <w:pPr>
        <w:spacing w:before="0" w:after="80" w:line="312" w:lineRule="auto"/>
      </w:pPr>
      <w:r>
        <w:rPr>
          <w:rFonts w:ascii="Arial" w:hAnsi="Arial" w:cs="Arial" w:eastAsia="Arial"/>
          <w:color w:val="5A6478"/>
          <w:sz w:val="17"/>
          <w:szCs w:val="17"/>
        </w:rPr>
        <w:t>* From 1 October 2023 to 31 December 2023.</w:t>
      </w:r>
      <w:r>
        <w:br/>
      </w:r>
      <w:r>
        <w:rPr>
          <w:rFonts w:ascii="Arial" w:hAnsi="Arial" w:cs="Arial" w:eastAsia="Arial"/>
          <w:color w:val="5A6478"/>
          <w:sz w:val="17"/>
          <w:szCs w:val="17"/>
        </w:rPr>
        <w:t>** From 1 January 2023 to 30 June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 **</w:t>
            </w:r>
          </w:p>
        </w:tc>
        <w:tc>
          <w:tcPr>
            <w:tcW w:type="dxa" w:w="6860"/>
          </w:tcPr>
          <w:p>
            <w:pPr>
              <w:spacing w:before="0" w:after="0" w:line="276" w:lineRule="auto"/>
            </w:pPr>
            <w:r>
              <w:rPr>
                <w:rFonts w:ascii="Arial" w:hAnsi="Arial" w:cs="Arial" w:eastAsia="Arial"/>
                <w:b/>
                <w:bCs/>
                <w:color w:val="0E1E3A"/>
                <w:sz w:val="18"/>
                <w:szCs w:val="18"/>
              </w:rPr>
              <w:t>1.87%</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 ***</w:t>
            </w:r>
          </w:p>
        </w:tc>
        <w:tc>
          <w:tcPr>
            <w:tcW w:type="dxa" w:w="6860"/>
          </w:tcPr>
          <w:p>
            <w:pPr>
              <w:spacing w:before="0" w:after="0" w:line="276" w:lineRule="auto"/>
            </w:pPr>
            <w:r>
              <w:rPr>
                <w:rFonts w:ascii="Arial" w:hAnsi="Arial" w:cs="Arial" w:eastAsia="Arial"/>
                <w:b/>
                <w:bCs/>
                <w:color w:val="0E1E3A"/>
                <w:sz w:val="18"/>
                <w:szCs w:val="18"/>
              </w:rPr>
              <w:t>-29.00%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-16.09%</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 SOFR) 12 months + 300 basis points.</w:t>
      </w:r>
      <w:r>
        <w:br/>
      </w:r>
      <w:r>
        <w:rPr>
          <w:rFonts w:ascii="Arial" w:hAnsi="Arial" w:cs="Arial" w:eastAsia="Arial"/>
          <w:color w:val="5A6478"/>
          <w:sz w:val="17"/>
          <w:szCs w:val="17"/>
        </w:rPr>
        <w:t>** Unit Price as at 30 September 2023 = SAR 6.97.</w:t>
      </w:r>
      <w:r>
        <w:br/>
      </w:r>
      <w:r>
        <w:rPr>
          <w:rFonts w:ascii="Arial" w:hAnsi="Arial" w:cs="Arial" w:eastAsia="Arial"/>
          <w:color w:val="5A6478"/>
          <w:sz w:val="17"/>
          <w:szCs w:val="17"/>
        </w:rPr>
        <w:t>*** From the Fund’s Date of Inception to end Q3 2023.</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 **</w:t>
            </w:r>
          </w:p>
        </w:tc>
        <w:tc>
          <w:tcPr>
            <w:tcW w:type="dxa" w:w="3326"/>
          </w:tcPr>
          <w:p>
            <w:pPr>
              <w:spacing w:before="0" w:after="0" w:line="264" w:lineRule="auto"/>
            </w:pPr>
            <w:r>
              <w:rPr>
                <w:rFonts w:ascii="Arial" w:hAnsi="Arial" w:cs="Arial" w:eastAsia="Arial"/>
                <w:color w:val="0E1E3A"/>
                <w:sz w:val="17"/>
                <w:szCs w:val="17"/>
              </w:rPr>
              <w:t>9.7595</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 ***</w:t>
            </w:r>
          </w:p>
        </w:tc>
        <w:tc>
          <w:tcPr>
            <w:tcW w:type="dxa" w:w="3326"/>
          </w:tcPr>
          <w:p>
            <w:pPr>
              <w:spacing w:before="0" w:after="0" w:line="264" w:lineRule="auto"/>
            </w:pPr>
            <w:r>
              <w:rPr>
                <w:rFonts w:ascii="Arial" w:hAnsi="Arial" w:cs="Arial" w:eastAsia="Arial"/>
                <w:color w:val="0E1E3A"/>
                <w:sz w:val="17"/>
                <w:szCs w:val="17"/>
              </w:rPr>
              <w:t>9.9193</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1.64%</w:t>
            </w:r>
          </w:p>
        </w:tc>
        <w:tc>
          <w:tcPr>
            <w:tcW w:type="dxa" w:w="3326"/>
          </w:tcPr>
          <w:p>
            <w:pPr>
              <w:spacing w:before="0" w:after="0" w:line="264" w:lineRule="auto"/>
            </w:pPr>
            <w:r>
              <w:rPr>
                <w:rFonts w:ascii="Arial" w:hAnsi="Arial" w:cs="Arial" w:eastAsia="Arial"/>
                <w:color w:val="0E1E3A"/>
                <w:sz w:val="17"/>
                <w:szCs w:val="17"/>
              </w:rPr>
              <w:t>2.00%****</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 SOFR) 12 months + 300 basis points</w:t>
      </w:r>
      <w:r>
        <w:br/>
      </w:r>
      <w:r>
        <w:rPr>
          <w:rFonts w:ascii="Arial" w:hAnsi="Arial" w:cs="Arial" w:eastAsia="Arial"/>
          <w:color w:val="5A6478"/>
          <w:sz w:val="17"/>
          <w:szCs w:val="17"/>
        </w:rPr>
        <w:t>** As at 30 September 2023.</w:t>
      </w:r>
      <w:r>
        <w:br/>
      </w:r>
      <w:r>
        <w:rPr>
          <w:rFonts w:ascii="Arial" w:hAnsi="Arial" w:cs="Arial" w:eastAsia="Arial"/>
          <w:color w:val="5A6478"/>
          <w:sz w:val="17"/>
          <w:szCs w:val="17"/>
        </w:rPr>
        <w:t>***As at 31 December 2023.</w:t>
      </w:r>
      <w:r>
        <w:br/>
      </w:r>
      <w:r>
        <w:rPr>
          <w:rFonts w:ascii="Arial" w:hAnsi="Arial" w:cs="Arial" w:eastAsia="Arial"/>
          <w:color w:val="5A6478"/>
          <w:sz w:val="17"/>
          <w:szCs w:val="17"/>
        </w:rPr>
        <w:t>**** Benchmark average return is 8.22% per annum, or a return of 2.00%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UP TO 30 JUNE 2023*</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1.64%</w:t>
            </w:r>
          </w:p>
        </w:tc>
        <w:tc>
          <w:tcPr>
            <w:tcW w:type="dxa" w:w="1663"/>
          </w:tcPr>
          <w:p>
            <w:pPr>
              <w:spacing w:before="0" w:after="0" w:line="264" w:lineRule="auto"/>
            </w:pPr>
            <w:r>
              <w:rPr>
                <w:rFonts w:ascii="Arial" w:hAnsi="Arial" w:cs="Arial" w:eastAsia="Arial"/>
                <w:color w:val="0E1E3A"/>
                <w:sz w:val="17"/>
                <w:szCs w:val="17"/>
              </w:rPr>
              <w:t>5.53%</w:t>
            </w:r>
          </w:p>
        </w:tc>
        <w:tc>
          <w:tcPr>
            <w:tcW w:type="dxa" w:w="1663"/>
          </w:tcPr>
          <w:p>
            <w:pPr>
              <w:spacing w:before="0" w:after="0" w:line="264" w:lineRule="auto"/>
            </w:pPr>
            <w:r>
              <w:rPr>
                <w:rFonts w:ascii="Arial" w:hAnsi="Arial" w:cs="Arial" w:eastAsia="Arial"/>
                <w:color w:val="0E1E3A"/>
                <w:sz w:val="17"/>
                <w:szCs w:val="17"/>
              </w:rPr>
              <w:t>5.53%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2.00%</w:t>
            </w:r>
          </w:p>
        </w:tc>
        <w:tc>
          <w:tcPr>
            <w:tcW w:type="dxa" w:w="1663"/>
          </w:tcPr>
          <w:p>
            <w:pPr>
              <w:spacing w:before="0" w:after="0" w:line="264" w:lineRule="auto"/>
            </w:pPr>
            <w:r>
              <w:rPr>
                <w:rFonts w:ascii="Arial" w:hAnsi="Arial" w:cs="Arial" w:eastAsia="Arial"/>
                <w:color w:val="0E1E3A"/>
                <w:sz w:val="17"/>
                <w:szCs w:val="17"/>
              </w:rPr>
              <w:t>8.32%</w:t>
            </w:r>
          </w:p>
        </w:tc>
        <w:tc>
          <w:tcPr>
            <w:tcW w:type="dxa" w:w="1663"/>
          </w:tcPr>
          <w:p>
            <w:pPr>
              <w:spacing w:before="0" w:after="0" w:line="264" w:lineRule="auto"/>
            </w:pPr>
            <w:r>
              <w:rPr>
                <w:rFonts w:ascii="Arial" w:hAnsi="Arial" w:cs="Arial" w:eastAsia="Arial"/>
                <w:color w:val="0E1E3A"/>
                <w:sz w:val="17"/>
                <w:szCs w:val="17"/>
              </w:rPr>
              <w:t>8.32%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-0.36%</w:t>
            </w:r>
          </w:p>
        </w:tc>
        <w:tc>
          <w:tcPr>
            <w:tcW w:type="dxa" w:w="1663"/>
          </w:tcPr>
          <w:p>
            <w:pPr>
              <w:spacing w:before="0" w:after="0" w:line="264" w:lineRule="auto"/>
            </w:pPr>
            <w:r>
              <w:rPr>
                <w:rFonts w:ascii="Arial" w:hAnsi="Arial" w:cs="Arial" w:eastAsia="Arial"/>
                <w:color w:val="0E1E3A"/>
                <w:sz w:val="17"/>
                <w:szCs w:val="17"/>
              </w:rPr>
              <w:t>-2.79%</w:t>
            </w:r>
          </w:p>
        </w:tc>
        <w:tc>
          <w:tcPr>
            <w:tcW w:type="dxa" w:w="1663"/>
          </w:tcPr>
          <w:p>
            <w:pPr>
              <w:spacing w:before="0" w:after="0" w:line="264" w:lineRule="auto"/>
            </w:pPr>
            <w:r>
              <w:rPr>
                <w:rFonts w:ascii="Arial" w:hAnsi="Arial" w:cs="Arial" w:eastAsia="Arial"/>
                <w:color w:val="0E1E3A"/>
                <w:sz w:val="17"/>
                <w:szCs w:val="17"/>
              </w:rPr>
              <w:t>-2.79%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30 September 2023 to 31 December 2023.</w:t>
      </w:r>
      <w:r>
        <w:br/>
      </w:r>
      <w:r>
        <w:rPr>
          <w:rFonts w:ascii="Arial" w:hAnsi="Arial" w:cs="Arial" w:eastAsia="Arial"/>
          <w:color w:val="5A6478"/>
          <w:sz w:val="17"/>
          <w:szCs w:val="17"/>
        </w:rPr>
        <w:t>** For the period from 31 December 2022 to 31 December 2023, including cash distributions of 5.60%.</w:t>
      </w:r>
      <w:r>
        <w:br/>
      </w:r>
      <w:r>
        <w:rPr>
          <w:rFonts w:ascii="Arial" w:hAnsi="Arial" w:cs="Arial" w:eastAsia="Arial"/>
          <w:color w:val="5A6478"/>
          <w:sz w:val="17"/>
          <w:szCs w:val="17"/>
        </w:rPr>
        <w:t>*** For the period from 31 December 2022 to 31 December 2023, including cash distributions of 5.60%.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4"/>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11.02</w:t>
            </w:r>
          </w:p>
        </w:tc>
        <w:tc>
          <w:tcPr>
            <w:tcW w:type="dxa" w:w="1663"/>
          </w:tcPr>
          <w:p>
            <w:pPr>
              <w:spacing w:before="0" w:after="0" w:line="264" w:lineRule="auto"/>
            </w:pPr>
            <w:r>
              <w:rPr>
                <w:rFonts w:ascii="Arial" w:hAnsi="Arial" w:cs="Arial" w:eastAsia="Arial"/>
                <w:color w:val="0E1E3A"/>
                <w:sz w:val="17"/>
                <w:szCs w:val="17"/>
              </w:rPr>
              <w:t>17.24</w:t>
            </w:r>
          </w:p>
        </w:tc>
        <w:tc>
          <w:tcPr>
            <w:tcW w:type="dxa" w:w="1663"/>
          </w:tcPr>
          <w:p>
            <w:pPr>
              <w:spacing w:before="0" w:after="0" w:line="264" w:lineRule="auto"/>
            </w:pPr>
            <w:r>
              <w:rPr>
                <w:rFonts w:ascii="Arial" w:hAnsi="Arial" w:cs="Arial" w:eastAsia="Arial"/>
                <w:color w:val="0E1E3A"/>
                <w:sz w:val="17"/>
                <w:szCs w:val="17"/>
              </w:rPr>
              <w:t>17.24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-0.42</w:t>
            </w:r>
          </w:p>
        </w:tc>
        <w:tc>
          <w:tcPr>
            <w:tcW w:type="dxa" w:w="1663"/>
          </w:tcPr>
          <w:p>
            <w:pPr>
              <w:spacing w:before="0" w:after="0" w:line="264" w:lineRule="auto"/>
            </w:pPr>
            <w:r>
              <w:rPr>
                <w:rFonts w:ascii="Arial" w:hAnsi="Arial" w:cs="Arial" w:eastAsia="Arial"/>
                <w:color w:val="0E1E3A"/>
                <w:sz w:val="17"/>
                <w:szCs w:val="17"/>
              </w:rPr>
              <w:t>1.29</w:t>
            </w:r>
          </w:p>
        </w:tc>
        <w:tc>
          <w:tcPr>
            <w:tcW w:type="dxa" w:w="1663"/>
          </w:tcPr>
          <w:p>
            <w:pPr>
              <w:spacing w:before="0" w:after="0" w:line="264" w:lineRule="auto"/>
            </w:pPr>
            <w:r>
              <w:rPr>
                <w:rFonts w:ascii="Arial" w:hAnsi="Arial" w:cs="Arial" w:eastAsia="Arial"/>
                <w:color w:val="0E1E3A"/>
                <w:sz w:val="17"/>
                <w:szCs w:val="17"/>
              </w:rPr>
              <w:t>1.29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11.54</w:t>
            </w:r>
          </w:p>
        </w:tc>
        <w:tc>
          <w:tcPr>
            <w:tcW w:type="dxa" w:w="1663"/>
          </w:tcPr>
          <w:p>
            <w:pPr>
              <w:spacing w:before="0" w:after="0" w:line="264" w:lineRule="auto"/>
            </w:pPr>
            <w:r>
              <w:rPr>
                <w:rFonts w:ascii="Arial" w:hAnsi="Arial" w:cs="Arial" w:eastAsia="Arial"/>
                <w:color w:val="0E1E3A"/>
                <w:sz w:val="17"/>
                <w:szCs w:val="17"/>
              </w:rPr>
              <w:t>17.33</w:t>
            </w:r>
          </w:p>
        </w:tc>
        <w:tc>
          <w:tcPr>
            <w:tcW w:type="dxa" w:w="1663"/>
          </w:tcPr>
          <w:p>
            <w:pPr>
              <w:spacing w:before="0" w:after="0" w:line="264" w:lineRule="auto"/>
            </w:pPr>
            <w:r>
              <w:rPr>
                <w:rFonts w:ascii="Arial" w:hAnsi="Arial" w:cs="Arial" w:eastAsia="Arial"/>
                <w:color w:val="0E1E3A"/>
                <w:sz w:val="17"/>
                <w:szCs w:val="17"/>
              </w:rPr>
              <w:t>17.33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-1.90</w:t>
            </w:r>
          </w:p>
        </w:tc>
        <w:tc>
          <w:tcPr>
            <w:tcW w:type="dxa" w:w="1663"/>
          </w:tcPr>
          <w:p>
            <w:pPr>
              <w:spacing w:before="0" w:after="0" w:line="264" w:lineRule="auto"/>
            </w:pPr>
            <w:r>
              <w:rPr>
                <w:rFonts w:ascii="Arial" w:hAnsi="Arial" w:cs="Arial" w:eastAsia="Arial"/>
                <w:color w:val="0E1E3A"/>
                <w:sz w:val="17"/>
                <w:szCs w:val="17"/>
              </w:rPr>
              <w:t>-2.08</w:t>
            </w:r>
          </w:p>
        </w:tc>
        <w:tc>
          <w:tcPr>
            <w:tcW w:type="dxa" w:w="1663"/>
          </w:tcPr>
          <w:p>
            <w:pPr>
              <w:spacing w:before="0" w:after="0" w:line="264" w:lineRule="auto"/>
            </w:pPr>
            <w:r>
              <w:rPr>
                <w:rFonts w:ascii="Arial" w:hAnsi="Arial" w:cs="Arial" w:eastAsia="Arial"/>
                <w:color w:val="0E1E3A"/>
                <w:sz w:val="17"/>
                <w:szCs w:val="17"/>
              </w:rPr>
              <w:t>-2.08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-7.56</w:t>
            </w:r>
          </w:p>
        </w:tc>
        <w:tc>
          <w:tcPr>
            <w:tcW w:type="dxa" w:w="1663"/>
          </w:tcPr>
          <w:p>
            <w:pPr>
              <w:spacing w:before="0" w:after="0" w:line="264" w:lineRule="auto"/>
            </w:pPr>
            <w:r>
              <w:rPr>
                <w:rFonts w:ascii="Arial" w:hAnsi="Arial" w:cs="Arial" w:eastAsia="Arial"/>
                <w:color w:val="0E1E3A"/>
                <w:sz w:val="17"/>
                <w:szCs w:val="17"/>
              </w:rPr>
              <w:t>16.28</w:t>
            </w:r>
          </w:p>
        </w:tc>
        <w:tc>
          <w:tcPr>
            <w:tcW w:type="dxa" w:w="1663"/>
          </w:tcPr>
          <w:p>
            <w:pPr>
              <w:spacing w:before="0" w:after="0" w:line="264" w:lineRule="auto"/>
            </w:pPr>
            <w:r>
              <w:rPr>
                <w:rFonts w:ascii="Arial" w:hAnsi="Arial" w:cs="Arial" w:eastAsia="Arial"/>
                <w:color w:val="0E1E3A"/>
                <w:sz w:val="17"/>
                <w:szCs w:val="17"/>
              </w:rPr>
              <w:t>16.28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-0.66</w:t>
            </w:r>
          </w:p>
        </w:tc>
        <w:tc>
          <w:tcPr>
            <w:tcW w:type="dxa" w:w="1663"/>
          </w:tcPr>
          <w:p>
            <w:pPr>
              <w:spacing w:before="0" w:after="0" w:line="264" w:lineRule="auto"/>
            </w:pPr>
            <w:r>
              <w:rPr>
                <w:rFonts w:ascii="Arial" w:hAnsi="Arial" w:cs="Arial" w:eastAsia="Arial"/>
                <w:color w:val="0E1E3A"/>
                <w:sz w:val="17"/>
                <w:szCs w:val="17"/>
              </w:rPr>
              <w:t>0.94</w:t>
            </w:r>
          </w:p>
        </w:tc>
        <w:tc>
          <w:tcPr>
            <w:tcW w:type="dxa" w:w="1663"/>
          </w:tcPr>
          <w:p>
            <w:pPr>
              <w:spacing w:before="0" w:after="0" w:line="264" w:lineRule="auto"/>
            </w:pPr>
            <w:r>
              <w:rPr>
                <w:rFonts w:ascii="Arial" w:hAnsi="Arial" w:cs="Arial" w:eastAsia="Arial"/>
                <w:color w:val="0E1E3A"/>
                <w:sz w:val="17"/>
                <w:szCs w:val="17"/>
              </w:rPr>
              <w:t>0.94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30 September 2023 to 31 December 2023</w:t>
      </w:r>
      <w:r>
        <w:br/>
      </w:r>
      <w:r>
        <w:rPr>
          <w:rFonts w:ascii="Arial" w:hAnsi="Arial" w:cs="Arial" w:eastAsia="Arial"/>
          <w:color w:val="5A6478"/>
          <w:sz w:val="17"/>
          <w:szCs w:val="17"/>
        </w:rPr>
        <w:t>2. For the period from 31 December 2022 to 31 December 2023</w:t>
      </w:r>
      <w:r>
        <w:br/>
      </w:r>
      <w:r>
        <w:rPr>
          <w:rFonts w:ascii="Arial" w:hAnsi="Arial" w:cs="Arial" w:eastAsia="Arial"/>
          <w:color w:val="5A6478"/>
          <w:sz w:val="17"/>
          <w:szCs w:val="17"/>
        </w:rPr>
        <w:t>3. For the period from 31 December 2022 to 31 December 2023.</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its December 2023 meeting, the US Fed maintained its key interest rate continuing with its campaign to control inflation. Despite the higher interest rate environment, many US businesses continue to invest in productive assets, suggesting healthy demand for equipment leasing finance.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which reports economic activity from twenty-five companies representing a cross section of the USD 1 trillion equipment finance sector, showed their overall new business volume for November 2023 was USD 8.3 billion, unchanged compared to same month prior year, but down 19% MoM from USD 10.4 billion in October. Year-to-date, cumulative new business volume was up 4.1% compared to 2022.</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As per the United Nations Conference on Trade and Development (UNCTAD) recent update, global trade in 2023 is expected to drop of 4.5% compared to the 2022 record high.</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Even though UNCTAD projects value of traded goods to decrease in 2023, the trend in the volume of international trade still suggests a resilient global demand for imported products.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finance gap has widened to USD 2.5 trillion (per recent ADB survey of September 2023), registering a 47% increase from its previous survey which had estimated the 2020 trade finance gap at USD 1.7 trillion.</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Moody’s expects global Sukuk issuance to decline by 10% in 2023, due to lower volumes from major sovereign issuers as robust oil prices and sustained economic growth strengthen the fiscal balances.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further to the worst year in decades in global Sukuk markets in 2022, the Sukuk market has recovered last year. In 2023, the US Dow Jones Sukuk Index (ex-reinvestment) gained 5.53% while S&amp;P GCC Bond and Sukuk Index was up 5.38%.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4" name="Picture 9048"/>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at 31 December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9"/>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0"/>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Q4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