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27"/>
            <wp:cNvGraphicFramePr/>
            <a:graphic>
              <a:graphicData uri="http://schemas.openxmlformats.org/drawingml/2006/picture">
                <pic:pic>
                  <pic:nvPicPr>
                    <pic:cNvPr id="9027" name="banner9027.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 name="Picture 9028"/>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نبذة عامة عن الصندوق</w:t>
      </w:r>
    </w:p>
    <w:p>
      <w:pPr>
        <w:bidi w:val="1"/>
        <w:spacing w:before="0" w:after="80" w:line="312" w:lineRule="auto"/>
      </w:pPr>
      <w:r>
        <w:rPr>
          <w:rFonts w:ascii="Arial" w:hAnsi="Arial" w:cs="Arial" w:eastAsia="Arial"/>
          <w:color w:val="0E1E3A"/>
          <w:sz w:val="20"/>
          <w:szCs w:val="20"/>
          <w:rtl/>
        </w:rPr>
        <w:t>صندوق "الخبير للدخل المتنوع المتداول"(الصندوق) هو صندوق استثمار متداول، مغلق، متوافق مع ضوابط الهيئة الشرعية، وتم إنشاؤه بموجب الأنظمة واللوائح المعمول بها في المملكة العربية السعودية، ويخضع لرقابة وإشراف هيئة السوق المالية. ويتمثل الهدف الاستثماري للصندوق في تحقيق دخل دوري للمستثمرين من خلال الاستثمار في أصول مدرة للدخل، متوافقة مع ضوابط الهيئة الشرعية؛ لتحقيق دخل دوري للصندوق. وينوي مدير الصندوق "الخبير المالية" الاستثمار في الصكوك، وصفقات التمويل التجاري، وصفقات الإجارة، وصناديق الدخل، وصفقات المرابحة، إما بشكل مباشر، أو من خلال صناديق استثمار.</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3" name="Picture 902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البيانات الأساسية للصندوق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التداول</w:t>
            </w:r>
          </w:p>
        </w:tc>
        <w:tc>
          <w:tcPr>
            <w:tcW w:type="dxa" w:w="6860"/>
          </w:tcPr>
          <w:p>
            <w:pPr>
              <w:bidi w:val="1"/>
              <w:spacing w:before="0" w:after="0" w:line="276" w:lineRule="auto"/>
            </w:pPr>
            <w:r>
              <w:rPr>
                <w:rFonts w:ascii="Arial" w:hAnsi="Arial" w:cs="Arial" w:eastAsia="Arial"/>
                <w:b/>
                <w:bCs/>
                <w:color w:val="0E1E3A"/>
                <w:sz w:val="18"/>
                <w:szCs w:val="18"/>
                <w:rtl/>
              </w:rPr>
              <w:t>4700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بلومبرغ</w:t>
            </w:r>
          </w:p>
        </w:tc>
        <w:tc>
          <w:tcPr>
            <w:tcW w:type="dxa" w:w="6860"/>
          </w:tcPr>
          <w:p>
            <w:pPr>
              <w:bidi w:val="1"/>
              <w:spacing w:before="0" w:after="0" w:line="276" w:lineRule="auto"/>
            </w:pPr>
            <w:r>
              <w:rPr>
                <w:rFonts w:ascii="Arial" w:hAnsi="Arial" w:cs="Arial" w:eastAsia="Arial"/>
                <w:b/>
                <w:bCs/>
                <w:color w:val="0E1E3A"/>
                <w:sz w:val="18"/>
                <w:szCs w:val="18"/>
                <w:rtl/>
              </w:rPr>
              <w:t>AKDICIF: AB</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نوع الصندوق</w:t>
            </w:r>
          </w:p>
        </w:tc>
        <w:tc>
          <w:tcPr>
            <w:tcW w:type="dxa" w:w="6860"/>
          </w:tcPr>
          <w:p>
            <w:pPr>
              <w:bidi w:val="1"/>
              <w:spacing w:before="0" w:after="0" w:line="276" w:lineRule="auto"/>
            </w:pPr>
            <w:r>
              <w:rPr>
                <w:rFonts w:ascii="Arial" w:hAnsi="Arial" w:cs="Arial" w:eastAsia="Arial"/>
                <w:b/>
                <w:bCs/>
                <w:color w:val="0E1E3A"/>
                <w:sz w:val="18"/>
                <w:szCs w:val="18"/>
                <w:rtl/>
              </w:rPr>
              <w:t>صندوق استثمار عام متداول مغلق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تاريخ الإدراج</w:t>
            </w:r>
          </w:p>
        </w:tc>
        <w:tc>
          <w:tcPr>
            <w:tcW w:type="dxa" w:w="6860"/>
          </w:tcPr>
          <w:p>
            <w:pPr>
              <w:bidi w:val="1"/>
              <w:spacing w:before="0" w:after="0" w:line="276" w:lineRule="auto"/>
            </w:pPr>
            <w:r>
              <w:rPr>
                <w:rFonts w:ascii="Arial" w:hAnsi="Arial" w:cs="Arial" w:eastAsia="Arial"/>
                <w:b/>
                <w:bCs/>
                <w:color w:val="0E1E3A"/>
                <w:sz w:val="18"/>
                <w:szCs w:val="18"/>
                <w:rtl/>
              </w:rPr>
              <w:t>19 يناير 2021م</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مدة الصندوق</w:t>
            </w:r>
          </w:p>
        </w:tc>
        <w:tc>
          <w:tcPr>
            <w:tcW w:type="dxa" w:w="6860"/>
          </w:tcPr>
          <w:p>
            <w:pPr>
              <w:bidi w:val="1"/>
              <w:spacing w:before="0" w:after="0" w:line="276" w:lineRule="auto"/>
            </w:pPr>
            <w:r>
              <w:rPr>
                <w:rFonts w:ascii="Arial" w:hAnsi="Arial" w:cs="Arial" w:eastAsia="Arial"/>
                <w:b/>
                <w:bCs/>
                <w:color w:val="0E1E3A"/>
                <w:sz w:val="18"/>
                <w:szCs w:val="18"/>
                <w:rtl/>
              </w:rPr>
              <w:t>99 سنة تبدأ من تاريخ الإدراج، قابلة للتمديد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الوحدة</w:t>
            </w:r>
          </w:p>
        </w:tc>
        <w:tc>
          <w:tcPr>
            <w:tcW w:type="dxa" w:w="6860"/>
          </w:tcPr>
          <w:p>
            <w:pPr>
              <w:bidi w:val="1"/>
              <w:spacing w:before="0" w:after="0" w:line="276" w:lineRule="auto"/>
            </w:pPr>
            <w:r>
              <w:rPr>
                <w:rFonts w:ascii="Arial" w:hAnsi="Arial" w:cs="Arial" w:eastAsia="Arial"/>
                <w:b/>
                <w:bCs/>
                <w:color w:val="0E1E3A"/>
                <w:sz w:val="18"/>
                <w:szCs w:val="18"/>
                <w:rtl/>
              </w:rPr>
              <w:t>9.6100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حجم أصول الصندوق *</w:t>
            </w:r>
          </w:p>
        </w:tc>
        <w:tc>
          <w:tcPr>
            <w:tcW w:type="dxa" w:w="6860"/>
          </w:tcPr>
          <w:p>
            <w:pPr>
              <w:bidi w:val="1"/>
              <w:spacing w:before="0" w:after="0" w:line="276" w:lineRule="auto"/>
            </w:pPr>
            <w:r>
              <w:rPr>
                <w:rFonts w:ascii="Arial" w:hAnsi="Arial" w:cs="Arial" w:eastAsia="Arial"/>
                <w:b/>
                <w:bCs/>
                <w:color w:val="0E1E3A"/>
                <w:sz w:val="18"/>
                <w:szCs w:val="18"/>
                <w:rtl/>
              </w:rPr>
              <w:t>486,031,385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رأس مال الصندوق كما في تاريخ الإدراج</w:t>
            </w:r>
          </w:p>
        </w:tc>
        <w:tc>
          <w:tcPr>
            <w:tcW w:type="dxa" w:w="6860"/>
          </w:tcPr>
          <w:p>
            <w:pPr>
              <w:bidi w:val="1"/>
              <w:spacing w:before="0" w:after="0" w:line="276" w:lineRule="auto"/>
            </w:pPr>
            <w:r>
              <w:rPr>
                <w:rFonts w:ascii="Arial" w:hAnsi="Arial" w:cs="Arial" w:eastAsia="Arial"/>
                <w:b/>
                <w:bCs/>
                <w:color w:val="0E1E3A"/>
                <w:sz w:val="18"/>
                <w:szCs w:val="18"/>
                <w:rtl/>
              </w:rPr>
              <w:t>472,814,700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مبلغ التمويل *</w:t>
            </w:r>
          </w:p>
        </w:tc>
        <w:tc>
          <w:tcPr>
            <w:tcW w:type="dxa" w:w="6860"/>
          </w:tcPr>
          <w:p>
            <w:pPr>
              <w:bidi w:val="1"/>
              <w:spacing w:before="0" w:after="0" w:line="276" w:lineRule="auto"/>
            </w:pPr>
            <w:r>
              <w:rPr>
                <w:rFonts w:ascii="Arial" w:hAnsi="Arial" w:cs="Arial" w:eastAsia="Arial"/>
                <w:b/>
                <w:bCs/>
                <w:color w:val="0E1E3A"/>
                <w:sz w:val="18"/>
                <w:szCs w:val="18"/>
                <w:rtl/>
              </w:rPr>
              <w:t>27,111,176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‎5.58%‎</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قيمة صافي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‎5.97%‎</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استثمار مدير الصندوق من صافي قيمة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tl/>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استثمار مدير الصندوق من صافي قيمة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‎0%‎</w:t>
            </w:r>
            <w:r>
              <w:rPr>
                <w:rFonts w:ascii="Arial" w:hAnsi="Arial" w:cs="Arial" w:eastAsia="Arial"/>
                <w:b/>
                <w:bCs/>
                <w:color w:val="0E1E3A"/>
                <w:sz w:val="18"/>
                <w:szCs w:val="18"/>
                <w:rtl/>
              </w:rPr>
              <w:t>. 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مستوى المخاطر</w:t>
            </w:r>
          </w:p>
        </w:tc>
        <w:tc>
          <w:tcPr>
            <w:tcW w:type="dxa" w:w="6860"/>
          </w:tcPr>
          <w:p>
            <w:pPr>
              <w:bidi w:val="1"/>
              <w:spacing w:before="0" w:after="0" w:line="276" w:lineRule="auto"/>
            </w:pPr>
            <w:r>
              <w:rPr>
                <w:rFonts w:ascii="Arial" w:hAnsi="Arial" w:cs="Arial" w:eastAsia="Arial"/>
                <w:b/>
                <w:bCs/>
                <w:color w:val="0E1E3A"/>
                <w:sz w:val="18"/>
                <w:szCs w:val="18"/>
                <w:rtl/>
              </w:rPr>
              <w:t>مرتفع</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عملة الصندوق</w:t>
            </w:r>
          </w:p>
        </w:tc>
        <w:tc>
          <w:tcPr>
            <w:tcW w:type="dxa" w:w="6860"/>
          </w:tcPr>
          <w:p>
            <w:pPr>
              <w:bidi w:val="1"/>
              <w:spacing w:before="0" w:after="0" w:line="276" w:lineRule="auto"/>
            </w:pPr>
            <w:r>
              <w:rPr>
                <w:rFonts w:ascii="Arial" w:hAnsi="Arial" w:cs="Arial" w:eastAsia="Arial"/>
                <w:b/>
                <w:bCs/>
                <w:color w:val="0E1E3A"/>
                <w:sz w:val="18"/>
                <w:szCs w:val="18"/>
                <w:rtl/>
              </w:rPr>
              <w:t>ريال سعودي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مستشار الاستثمار ومدير الصندوق من الباطن</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رسوم الإدارة للصناديق المستثمر فيها</w:t>
            </w:r>
          </w:p>
        </w:tc>
        <w:tc>
          <w:tcPr>
            <w:tcW w:type="dxa" w:w="6860"/>
          </w:tcPr>
          <w:p>
            <w:pPr>
              <w:bidi w:val="1"/>
              <w:spacing w:before="0" w:after="0" w:line="276" w:lineRule="auto"/>
            </w:pPr>
            <w:r>
              <w:rPr>
                <w:rFonts w:ascii="Arial" w:hAnsi="Arial" w:cs="Arial" w:eastAsia="Arial"/>
                <w:b/>
                <w:bCs/>
                <w:color w:val="0E1E3A"/>
                <w:sz w:val="18"/>
                <w:szCs w:val="18"/>
              </w:rPr>
              <w:t>‎0.35%‎</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أيام المتوسط المرجح</w:t>
            </w:r>
          </w:p>
        </w:tc>
        <w:tc>
          <w:tcPr>
            <w:tcW w:type="dxa" w:w="6860"/>
          </w:tcPr>
          <w:p>
            <w:pPr>
              <w:bidi w:val="1"/>
              <w:spacing w:before="0" w:after="0" w:line="276" w:lineRule="auto"/>
            </w:pPr>
            <w:r>
              <w:rPr>
                <w:rFonts w:ascii="Arial" w:hAnsi="Arial" w:cs="Arial" w:eastAsia="Arial"/>
                <w:b/>
                <w:bCs/>
                <w:color w:val="0E1E3A"/>
                <w:sz w:val="18"/>
                <w:szCs w:val="18"/>
                <w:rtl/>
              </w:rPr>
              <w:t>92 يوما</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31 ديسمبر 2024م (غير مدققة).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4" name="Picture 903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نسب تركز الاستثمارات في محفظة الصندوق*</w:t>
      </w:r>
    </w:p>
    <w:p>
      <w:pPr>
        <w:bidi w:val="1"/>
        <w:spacing w:before="0" w:after="80" w:line="240" w:lineRule="auto"/>
        <w:jc w:val="center"/>
      </w:pPr>
      <w:r>
        <w:drawing>
          <wp:inline xmlns:a="http://schemas.openxmlformats.org/drawingml/2006/main" xmlns:pic="http://schemas.openxmlformats.org/drawingml/2006/picture">
            <wp:extent cx="6336000" cy="1883676"/>
            <wp:docPr id="5" name="Picture 9031"/>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83676"/>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 متوسط مدة استثمارات الصندوق 2.8 سنوات.</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6" name="Picture 903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المؤشرات المالية*</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فترات التقييم</w:t>
            </w:r>
          </w:p>
        </w:tc>
        <w:tc>
          <w:tcPr>
            <w:tcW w:type="dxa" w:w="6860"/>
          </w:tcPr>
          <w:p>
            <w:pPr>
              <w:bidi w:val="1"/>
              <w:spacing w:before="0" w:after="0" w:line="276" w:lineRule="auto"/>
            </w:pPr>
            <w:r>
              <w:rPr>
                <w:rFonts w:ascii="Arial" w:hAnsi="Arial" w:cs="Arial" w:eastAsia="Arial"/>
                <w:b/>
                <w:bCs/>
                <w:color w:val="0E1E3A"/>
                <w:sz w:val="18"/>
                <w:szCs w:val="18"/>
                <w:rtl/>
              </w:rPr>
              <w:t>ربع سنوي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tl/>
              </w:rPr>
              <w:t>486,031,385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أصول وحدات الصندوق *</w:t>
            </w:r>
          </w:p>
        </w:tc>
        <w:tc>
          <w:tcPr>
            <w:tcW w:type="dxa" w:w="6860"/>
          </w:tcPr>
          <w:p>
            <w:pPr>
              <w:bidi w:val="1"/>
              <w:spacing w:before="0" w:after="0" w:line="276" w:lineRule="auto"/>
            </w:pPr>
            <w:r>
              <w:rPr>
                <w:rFonts w:ascii="Arial" w:hAnsi="Arial" w:cs="Arial" w:eastAsia="Arial"/>
                <w:b/>
                <w:bCs/>
                <w:color w:val="0E1E3A"/>
                <w:sz w:val="18"/>
                <w:szCs w:val="18"/>
                <w:rtl/>
              </w:rPr>
              <w:t>454,373,288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مبلغ مصاريف التعامل للربع المعني إلى متوسط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مصاريف التعامل للربع المعني إلى متوسط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مصروفات الصفقات للربع المعني إلى متوسط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مصروفات وأتعاب الصندوق إلى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‎0.59%‎</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إجمالي تكاليف الصندوق إلى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‎0.68%‎</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إجمالي تكاليف / أتعاب الصندوق إلى متوسط صافي أصول الصندوق ****</w:t>
            </w:r>
          </w:p>
        </w:tc>
        <w:tc>
          <w:tcPr>
            <w:tcW w:type="dxa" w:w="6860"/>
          </w:tcPr>
          <w:p>
            <w:pPr>
              <w:bidi w:val="1"/>
              <w:spacing w:before="0" w:after="0" w:line="276" w:lineRule="auto"/>
            </w:pPr>
            <w:r>
              <w:rPr>
                <w:rFonts w:ascii="Arial" w:hAnsi="Arial" w:cs="Arial" w:eastAsia="Arial"/>
                <w:b/>
                <w:bCs/>
                <w:color w:val="0E1E3A"/>
                <w:sz w:val="18"/>
                <w:szCs w:val="18"/>
              </w:rPr>
              <w:t>‎0.73%‎</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تكاليف الصندوق للربع المعني</w:t>
            </w:r>
          </w:p>
        </w:tc>
        <w:tc>
          <w:tcPr>
            <w:tcW w:type="dxa" w:w="6860"/>
          </w:tcPr>
          <w:p>
            <w:pPr>
              <w:bidi w:val="1"/>
              <w:spacing w:before="0" w:after="0" w:line="276" w:lineRule="auto"/>
            </w:pPr>
            <w:r>
              <w:rPr>
                <w:rFonts w:ascii="Arial" w:hAnsi="Arial" w:cs="Arial" w:eastAsia="Arial"/>
                <w:b/>
                <w:bCs/>
                <w:color w:val="0E1E3A"/>
                <w:sz w:val="18"/>
                <w:szCs w:val="18"/>
                <w:rtl/>
              </w:rPr>
              <w:t>3,318,075 ر.س.</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31 ديسمبر 2024م (غير مدققة).</w:t>
      </w:r>
      <w:r>
        <w:br/>
      </w:r>
      <w:r>
        <w:rPr>
          <w:rFonts w:ascii="Arial" w:hAnsi="Arial" w:cs="Arial" w:eastAsia="Arial"/>
          <w:color w:val="5A6478"/>
          <w:sz w:val="17"/>
          <w:szCs w:val="17"/>
          <w:rtl/>
        </w:rPr>
        <w:t>** مصروفات وأتعاب الصندوق هي كافة مصروفات الصندوق خلال الربع المعني ما عدا تكلفة التمويل.</w:t>
      </w:r>
      <w:r>
        <w:br/>
      </w:r>
      <w:r>
        <w:rPr>
          <w:rFonts w:ascii="Arial" w:hAnsi="Arial" w:cs="Arial" w:eastAsia="Arial"/>
          <w:color w:val="5A6478"/>
          <w:sz w:val="17"/>
          <w:szCs w:val="17"/>
          <w:rtl/>
        </w:rPr>
        <w:t>*** إجمالي تكاليف الصندوق هي كافة أتعاب ومصروفات الصندوق متضمنة تكاليف التمويل.</w:t>
      </w:r>
      <w:r>
        <w:br/>
      </w:r>
      <w:r>
        <w:rPr>
          <w:rFonts w:ascii="Arial" w:hAnsi="Arial" w:cs="Arial" w:eastAsia="Arial"/>
          <w:color w:val="5A6478"/>
          <w:sz w:val="17"/>
          <w:szCs w:val="17"/>
          <w:rtl/>
        </w:rPr>
        <w:t>**** متوسط صافي قيمة أصول الصندوق للفترة المعنية = 454,647,315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7" name="Picture 903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الاستثمارات حسب الموقع الجغرافي</w:t>
      </w:r>
    </w:p>
    <w:p>
      <w:pPr>
        <w:bidi w:val="1"/>
        <w:spacing w:before="0" w:after="80" w:line="240" w:lineRule="auto"/>
        <w:jc w:val="center"/>
      </w:pPr>
      <w:r>
        <w:drawing>
          <wp:inline xmlns:a="http://schemas.openxmlformats.org/drawingml/2006/main" xmlns:pic="http://schemas.openxmlformats.org/drawingml/2006/picture">
            <wp:extent cx="6336000" cy="1883676"/>
            <wp:docPr id="8" name="Picture 9034"/>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83676"/>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9" name="Picture 903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أكبر 10 استثمارات بالصندوق</w:t>
      </w:r>
    </w:p>
    <w:p>
      <w:pPr>
        <w:bidi w:val="1"/>
        <w:spacing w:before="0" w:after="80" w:line="240" w:lineRule="auto"/>
        <w:jc w:val="center"/>
      </w:pPr>
      <w:r>
        <w:drawing>
          <wp:inline xmlns:a="http://schemas.openxmlformats.org/drawingml/2006/main" xmlns:pic="http://schemas.openxmlformats.org/drawingml/2006/picture">
            <wp:extent cx="6336000" cy="2911135"/>
            <wp:docPr id="10" name="Picture 9036"/>
            <wp:cNvGraphicFramePr>
              <a:graphicFrameLocks noChangeAspect="1"/>
            </wp:cNvGraphicFramePr>
            <a:graphic>
              <a:graphicData uri="http://schemas.openxmlformats.org/drawingml/2006/picture">
                <pic:pic>
                  <pic:nvPicPr>
                    <pic:cNvPr id="0" name="x4.j.jpg"/>
                    <pic:cNvPicPr/>
                  </pic:nvPicPr>
                  <pic:blipFill>
                    <a:blip r:embed="rId18"/>
                    <a:stretch>
                      <a:fillRect/>
                    </a:stretch>
                  </pic:blipFill>
                  <pic:spPr>
                    <a:xfrm>
                      <a:off x="0" y="0"/>
                      <a:ext cx="6336000" cy="2911135"/>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1" name="Picture 903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أصول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التمويل التجاري</w:t>
            </w:r>
          </w:p>
        </w:tc>
        <w:tc>
          <w:tcPr>
            <w:tcW w:type="dxa" w:w="6860"/>
          </w:tcPr>
          <w:p>
            <w:pPr>
              <w:bidi w:val="1"/>
              <w:spacing w:before="0" w:after="0" w:line="276" w:lineRule="auto"/>
            </w:pPr>
            <w:r>
              <w:rPr>
                <w:rFonts w:ascii="Arial" w:hAnsi="Arial" w:cs="Arial" w:eastAsia="Arial"/>
                <w:b/>
                <w:bCs/>
                <w:color w:val="0E1E3A"/>
                <w:sz w:val="18"/>
                <w:szCs w:val="18"/>
                <w:rtl/>
              </w:rPr>
              <w:t>148,749,702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الإجارة</w:t>
            </w:r>
          </w:p>
        </w:tc>
        <w:tc>
          <w:tcPr>
            <w:tcW w:type="dxa" w:w="6860"/>
          </w:tcPr>
          <w:p>
            <w:pPr>
              <w:bidi w:val="1"/>
              <w:spacing w:before="0" w:after="0" w:line="276" w:lineRule="auto"/>
            </w:pPr>
            <w:r>
              <w:rPr>
                <w:rFonts w:ascii="Arial" w:hAnsi="Arial" w:cs="Arial" w:eastAsia="Arial"/>
                <w:b/>
                <w:bCs/>
                <w:color w:val="0E1E3A"/>
                <w:sz w:val="18"/>
                <w:szCs w:val="18"/>
                <w:rtl/>
              </w:rPr>
              <w:t>180,231,365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الصكوك</w:t>
            </w:r>
          </w:p>
        </w:tc>
        <w:tc>
          <w:tcPr>
            <w:tcW w:type="dxa" w:w="6860"/>
          </w:tcPr>
          <w:p>
            <w:pPr>
              <w:bidi w:val="1"/>
              <w:spacing w:before="0" w:after="0" w:line="276" w:lineRule="auto"/>
            </w:pPr>
            <w:r>
              <w:rPr>
                <w:rFonts w:ascii="Arial" w:hAnsi="Arial" w:cs="Arial" w:eastAsia="Arial"/>
                <w:b/>
                <w:bCs/>
                <w:color w:val="0E1E3A"/>
                <w:sz w:val="18"/>
                <w:szCs w:val="18"/>
                <w:rtl/>
              </w:rPr>
              <w:t>31,245,544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صناديق الدخل</w:t>
            </w:r>
          </w:p>
        </w:tc>
        <w:tc>
          <w:tcPr>
            <w:tcW w:type="dxa" w:w="6860"/>
          </w:tcPr>
          <w:p>
            <w:pPr>
              <w:bidi w:val="1"/>
              <w:spacing w:before="0" w:after="0" w:line="276" w:lineRule="auto"/>
            </w:pPr>
            <w:r>
              <w:rPr>
                <w:rFonts w:ascii="Arial" w:hAnsi="Arial" w:cs="Arial" w:eastAsia="Arial"/>
                <w:b/>
                <w:bCs/>
                <w:color w:val="0E1E3A"/>
                <w:sz w:val="18"/>
                <w:szCs w:val="18"/>
                <w:rtl/>
              </w:rPr>
              <w:t>114,768,547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النقد وما في حكمه</w:t>
            </w:r>
          </w:p>
        </w:tc>
        <w:tc>
          <w:tcPr>
            <w:tcW w:type="dxa" w:w="6860"/>
          </w:tcPr>
          <w:p>
            <w:pPr>
              <w:bidi w:val="1"/>
              <w:spacing w:before="0" w:after="0" w:line="276" w:lineRule="auto"/>
            </w:pPr>
            <w:r>
              <w:rPr>
                <w:rFonts w:ascii="Arial" w:hAnsi="Arial" w:cs="Arial" w:eastAsia="Arial"/>
                <w:b/>
                <w:bCs/>
                <w:color w:val="0E1E3A"/>
                <w:sz w:val="18"/>
                <w:szCs w:val="18"/>
                <w:rtl/>
              </w:rPr>
              <w:t>11,036,227 ر.س.</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2" name="Picture 903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صافي قيمة الأصول وسعر الوحدة</w:t>
      </w:r>
    </w:p>
    <w:p>
      <w:pPr>
        <w:bidi w:val="1"/>
        <w:spacing w:before="0" w:after="80" w:line="240" w:lineRule="auto"/>
        <w:jc w:val="center"/>
      </w:pPr>
      <w:r>
        <w:drawing>
          <wp:inline xmlns:a="http://schemas.openxmlformats.org/drawingml/2006/main" xmlns:pic="http://schemas.openxmlformats.org/drawingml/2006/picture">
            <wp:extent cx="6336000" cy="3091892"/>
            <wp:docPr id="13" name="Picture 9039"/>
            <wp:cNvGraphicFramePr>
              <a:graphicFrameLocks noChangeAspect="1"/>
            </wp:cNvGraphicFramePr>
            <a:graphic>
              <a:graphicData uri="http://schemas.openxmlformats.org/drawingml/2006/picture">
                <pic:pic>
                  <pic:nvPicPr>
                    <pic:cNvPr id="0" name="x5.j.jpg"/>
                    <pic:cNvPicPr/>
                  </pic:nvPicPr>
                  <pic:blipFill>
                    <a:blip r:embed="rId19"/>
                    <a:stretch>
                      <a:fillRect/>
                    </a:stretch>
                  </pic:blipFill>
                  <pic:spPr>
                    <a:xfrm>
                      <a:off x="0" y="0"/>
                      <a:ext cx="6336000" cy="3091892"/>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4" name="Picture 904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القيمة السوقية للصندوق*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الإدراج</w:t>
            </w:r>
          </w:p>
        </w:tc>
        <w:tc>
          <w:tcPr>
            <w:tcW w:type="dxa" w:w="6860"/>
          </w:tcPr>
          <w:p>
            <w:pPr>
              <w:bidi w:val="1"/>
              <w:spacing w:before="0" w:after="0" w:line="276" w:lineRule="auto"/>
            </w:pPr>
            <w:r>
              <w:rPr>
                <w:rFonts w:ascii="Arial" w:hAnsi="Arial" w:cs="Arial" w:eastAsia="Arial"/>
                <w:b/>
                <w:bCs/>
                <w:color w:val="0E1E3A"/>
                <w:sz w:val="18"/>
                <w:szCs w:val="18"/>
                <w:rtl/>
              </w:rPr>
              <w:t>472,814,700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مارس 2021م</w:t>
            </w:r>
          </w:p>
        </w:tc>
        <w:tc>
          <w:tcPr>
            <w:tcW w:type="dxa" w:w="6860"/>
          </w:tcPr>
          <w:p>
            <w:pPr>
              <w:bidi w:val="1"/>
              <w:spacing w:before="0" w:after="0" w:line="276" w:lineRule="auto"/>
            </w:pPr>
            <w:r>
              <w:rPr>
                <w:rFonts w:ascii="Arial" w:hAnsi="Arial" w:cs="Arial" w:eastAsia="Arial"/>
                <w:b/>
                <w:bCs/>
                <w:color w:val="0E1E3A"/>
                <w:sz w:val="18"/>
                <w:szCs w:val="18"/>
                <w:rtl/>
              </w:rPr>
              <w:t>428,370,118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يونيو 2021م</w:t>
            </w:r>
          </w:p>
        </w:tc>
        <w:tc>
          <w:tcPr>
            <w:tcW w:type="dxa" w:w="6860"/>
          </w:tcPr>
          <w:p>
            <w:pPr>
              <w:bidi w:val="1"/>
              <w:spacing w:before="0" w:after="0" w:line="276" w:lineRule="auto"/>
            </w:pPr>
            <w:r>
              <w:rPr>
                <w:rFonts w:ascii="Arial" w:hAnsi="Arial" w:cs="Arial" w:eastAsia="Arial"/>
                <w:b/>
                <w:bCs/>
                <w:color w:val="0E1E3A"/>
                <w:sz w:val="18"/>
                <w:szCs w:val="18"/>
                <w:rtl/>
              </w:rPr>
              <w:t>433,098,265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سبتمبر 2021م</w:t>
            </w:r>
          </w:p>
        </w:tc>
        <w:tc>
          <w:tcPr>
            <w:tcW w:type="dxa" w:w="6860"/>
          </w:tcPr>
          <w:p>
            <w:pPr>
              <w:bidi w:val="1"/>
              <w:spacing w:before="0" w:after="0" w:line="276" w:lineRule="auto"/>
            </w:pPr>
            <w:r>
              <w:rPr>
                <w:rFonts w:ascii="Arial" w:hAnsi="Arial" w:cs="Arial" w:eastAsia="Arial"/>
                <w:b/>
                <w:bCs/>
                <w:color w:val="0E1E3A"/>
                <w:sz w:val="18"/>
                <w:szCs w:val="18"/>
                <w:rtl/>
              </w:rPr>
              <w:t>427,897,304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ديسمبر 2021م</w:t>
            </w:r>
          </w:p>
        </w:tc>
        <w:tc>
          <w:tcPr>
            <w:tcW w:type="dxa" w:w="6860"/>
          </w:tcPr>
          <w:p>
            <w:pPr>
              <w:bidi w:val="1"/>
              <w:spacing w:before="0" w:after="0" w:line="276" w:lineRule="auto"/>
            </w:pPr>
            <w:r>
              <w:rPr>
                <w:rFonts w:ascii="Arial" w:hAnsi="Arial" w:cs="Arial" w:eastAsia="Arial"/>
                <w:b/>
                <w:bCs/>
                <w:color w:val="0E1E3A"/>
                <w:sz w:val="18"/>
                <w:szCs w:val="18"/>
                <w:rtl/>
              </w:rPr>
              <w:t>409,930,345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مارس 2022م</w:t>
            </w:r>
          </w:p>
        </w:tc>
        <w:tc>
          <w:tcPr>
            <w:tcW w:type="dxa" w:w="6860"/>
          </w:tcPr>
          <w:p>
            <w:pPr>
              <w:bidi w:val="1"/>
              <w:spacing w:before="0" w:after="0" w:line="276" w:lineRule="auto"/>
            </w:pPr>
            <w:r>
              <w:rPr>
                <w:rFonts w:ascii="Arial" w:hAnsi="Arial" w:cs="Arial" w:eastAsia="Arial"/>
                <w:b/>
                <w:bCs/>
                <w:color w:val="0E1E3A"/>
                <w:sz w:val="18"/>
                <w:szCs w:val="18"/>
                <w:rtl/>
              </w:rPr>
              <w:t>402,838,124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يونيو 2022م</w:t>
            </w:r>
          </w:p>
        </w:tc>
        <w:tc>
          <w:tcPr>
            <w:tcW w:type="dxa" w:w="6860"/>
          </w:tcPr>
          <w:p>
            <w:pPr>
              <w:bidi w:val="1"/>
              <w:spacing w:before="0" w:after="0" w:line="276" w:lineRule="auto"/>
            </w:pPr>
            <w:r>
              <w:rPr>
                <w:rFonts w:ascii="Arial" w:hAnsi="Arial" w:cs="Arial" w:eastAsia="Arial"/>
                <w:b/>
                <w:bCs/>
                <w:color w:val="0E1E3A"/>
                <w:sz w:val="18"/>
                <w:szCs w:val="18"/>
                <w:rtl/>
              </w:rPr>
              <w:t>342,317,843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سبتمبر 2022م</w:t>
            </w:r>
          </w:p>
        </w:tc>
        <w:tc>
          <w:tcPr>
            <w:tcW w:type="dxa" w:w="6860"/>
          </w:tcPr>
          <w:p>
            <w:pPr>
              <w:bidi w:val="1"/>
              <w:spacing w:before="0" w:after="0" w:line="276" w:lineRule="auto"/>
            </w:pPr>
            <w:r>
              <w:rPr>
                <w:rFonts w:ascii="Arial" w:hAnsi="Arial" w:cs="Arial" w:eastAsia="Arial"/>
                <w:b/>
                <w:bCs/>
                <w:color w:val="0E1E3A"/>
                <w:sz w:val="18"/>
                <w:szCs w:val="18"/>
                <w:rtl/>
              </w:rPr>
              <w:t>339,480,955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ديسمبر 2022م</w:t>
            </w:r>
          </w:p>
        </w:tc>
        <w:tc>
          <w:tcPr>
            <w:tcW w:type="dxa" w:w="6860"/>
          </w:tcPr>
          <w:p>
            <w:pPr>
              <w:bidi w:val="1"/>
              <w:spacing w:before="0" w:after="0" w:line="276" w:lineRule="auto"/>
            </w:pPr>
            <w:r>
              <w:rPr>
                <w:rFonts w:ascii="Arial" w:hAnsi="Arial" w:cs="Arial" w:eastAsia="Arial"/>
                <w:b/>
                <w:bCs/>
                <w:color w:val="0E1E3A"/>
                <w:sz w:val="18"/>
                <w:szCs w:val="18"/>
                <w:rtl/>
              </w:rPr>
              <w:t>281,324,747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مارس 2023م</w:t>
            </w:r>
          </w:p>
        </w:tc>
        <w:tc>
          <w:tcPr>
            <w:tcW w:type="dxa" w:w="6860"/>
          </w:tcPr>
          <w:p>
            <w:pPr>
              <w:bidi w:val="1"/>
              <w:spacing w:before="0" w:after="0" w:line="276" w:lineRule="auto"/>
            </w:pPr>
            <w:r>
              <w:rPr>
                <w:rFonts w:ascii="Arial" w:hAnsi="Arial" w:cs="Arial" w:eastAsia="Arial"/>
                <w:b/>
                <w:bCs/>
                <w:color w:val="0E1E3A"/>
                <w:sz w:val="18"/>
                <w:szCs w:val="18"/>
                <w:rtl/>
              </w:rPr>
              <w:t>297,873,261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30 يونيو 2023م</w:t>
            </w:r>
          </w:p>
        </w:tc>
        <w:tc>
          <w:tcPr>
            <w:tcW w:type="dxa" w:w="6860"/>
          </w:tcPr>
          <w:p>
            <w:pPr>
              <w:bidi w:val="1"/>
              <w:spacing w:before="0" w:after="0" w:line="276" w:lineRule="auto"/>
            </w:pPr>
            <w:r>
              <w:rPr>
                <w:rFonts w:ascii="Arial" w:hAnsi="Arial" w:cs="Arial" w:eastAsia="Arial"/>
                <w:b/>
                <w:bCs/>
                <w:color w:val="0E1E3A"/>
                <w:sz w:val="18"/>
                <w:szCs w:val="18"/>
                <w:rtl/>
              </w:rPr>
              <w:t>329,079,031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30 سبتمبر 2023م</w:t>
            </w:r>
          </w:p>
        </w:tc>
        <w:tc>
          <w:tcPr>
            <w:tcW w:type="dxa" w:w="6860"/>
          </w:tcPr>
          <w:p>
            <w:pPr>
              <w:bidi w:val="1"/>
              <w:spacing w:before="0" w:after="0" w:line="276" w:lineRule="auto"/>
            </w:pPr>
            <w:r>
              <w:rPr>
                <w:rFonts w:ascii="Arial" w:hAnsi="Arial" w:cs="Arial" w:eastAsia="Arial"/>
                <w:b/>
                <w:bCs/>
                <w:color w:val="0E1E3A"/>
                <w:sz w:val="18"/>
                <w:szCs w:val="18"/>
                <w:rtl/>
              </w:rPr>
              <w:t>329,551,846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ديسمبر 2023م</w:t>
            </w:r>
          </w:p>
        </w:tc>
        <w:tc>
          <w:tcPr>
            <w:tcW w:type="dxa" w:w="6860"/>
          </w:tcPr>
          <w:p>
            <w:pPr>
              <w:bidi w:val="1"/>
              <w:spacing w:before="0" w:after="0" w:line="276" w:lineRule="auto"/>
            </w:pPr>
            <w:r>
              <w:rPr>
                <w:rFonts w:ascii="Arial" w:hAnsi="Arial" w:cs="Arial" w:eastAsia="Arial"/>
                <w:b/>
                <w:bCs/>
                <w:color w:val="0E1E3A"/>
                <w:sz w:val="18"/>
                <w:szCs w:val="18"/>
                <w:rtl/>
              </w:rPr>
              <w:t>335,698,437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مارس 2024م</w:t>
            </w:r>
          </w:p>
        </w:tc>
        <w:tc>
          <w:tcPr>
            <w:tcW w:type="dxa" w:w="6860"/>
          </w:tcPr>
          <w:p>
            <w:pPr>
              <w:bidi w:val="1"/>
              <w:spacing w:before="0" w:after="0" w:line="276" w:lineRule="auto"/>
            </w:pPr>
            <w:r>
              <w:rPr>
                <w:rFonts w:ascii="Arial" w:hAnsi="Arial" w:cs="Arial" w:eastAsia="Arial"/>
                <w:b/>
                <w:bCs/>
                <w:color w:val="0E1E3A"/>
                <w:sz w:val="18"/>
                <w:szCs w:val="18"/>
                <w:rtl/>
              </w:rPr>
              <w:t>320,568,367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يونيو 2024م</w:t>
            </w:r>
          </w:p>
        </w:tc>
        <w:tc>
          <w:tcPr>
            <w:tcW w:type="dxa" w:w="6860"/>
          </w:tcPr>
          <w:p>
            <w:pPr>
              <w:bidi w:val="1"/>
              <w:spacing w:before="0" w:after="0" w:line="276" w:lineRule="auto"/>
            </w:pPr>
            <w:r>
              <w:rPr>
                <w:rFonts w:ascii="Arial" w:hAnsi="Arial" w:cs="Arial" w:eastAsia="Arial"/>
                <w:b/>
                <w:bCs/>
                <w:color w:val="0E1E3A"/>
                <w:sz w:val="18"/>
                <w:szCs w:val="18"/>
                <w:rtl/>
              </w:rPr>
              <w:t>326,714,958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سبتمبر 2024م</w:t>
            </w:r>
          </w:p>
        </w:tc>
        <w:tc>
          <w:tcPr>
            <w:tcW w:type="dxa" w:w="6860"/>
          </w:tcPr>
          <w:p>
            <w:pPr>
              <w:bidi w:val="1"/>
              <w:spacing w:before="0" w:after="0" w:line="276" w:lineRule="auto"/>
            </w:pPr>
            <w:r>
              <w:rPr>
                <w:rFonts w:ascii="Arial" w:hAnsi="Arial" w:cs="Arial" w:eastAsia="Arial"/>
                <w:b/>
                <w:bCs/>
                <w:color w:val="0E1E3A"/>
                <w:sz w:val="18"/>
                <w:szCs w:val="18"/>
                <w:rtl/>
              </w:rPr>
              <w:t>296,927,632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ديسمبر 2024م</w:t>
            </w:r>
          </w:p>
        </w:tc>
        <w:tc>
          <w:tcPr>
            <w:tcW w:type="dxa" w:w="6860"/>
          </w:tcPr>
          <w:p>
            <w:pPr>
              <w:bidi w:val="1"/>
              <w:spacing w:before="0" w:after="0" w:line="276" w:lineRule="auto"/>
            </w:pPr>
            <w:r>
              <w:rPr>
                <w:rFonts w:ascii="Arial" w:hAnsi="Arial" w:cs="Arial" w:eastAsia="Arial"/>
                <w:b/>
                <w:bCs/>
                <w:color w:val="0E1E3A"/>
                <w:sz w:val="18"/>
                <w:szCs w:val="18"/>
                <w:rtl/>
              </w:rPr>
              <w:t>305,438,296 ر.س.</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بناء على سعر الوحدة.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5" name="Picture 904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وحدات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بنهاية الربع الرابع (31 ديسمبر 2024م)</w:t>
            </w:r>
          </w:p>
        </w:tc>
        <w:tc>
          <w:tcPr>
            <w:tcW w:type="dxa" w:w="6860"/>
          </w:tcPr>
          <w:p>
            <w:pPr>
              <w:bidi w:val="1"/>
              <w:spacing w:before="0" w:after="0" w:line="276" w:lineRule="auto"/>
            </w:pPr>
            <w:r>
              <w:rPr>
                <w:rFonts w:ascii="Arial" w:hAnsi="Arial" w:cs="Arial" w:eastAsia="Arial"/>
                <w:b/>
                <w:bCs/>
                <w:color w:val="0E1E3A"/>
                <w:sz w:val="18"/>
                <w:szCs w:val="18"/>
                <w:rtl/>
              </w:rPr>
              <w:t>6.46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التغير في سعر الوحدة مقارنة بالربع السابق (من تاريخ إلى 30 سبتمبر 2024م إلى 31 ديسمبر 2024م)</w:t>
            </w:r>
          </w:p>
        </w:tc>
        <w:tc>
          <w:tcPr>
            <w:tcW w:type="dxa" w:w="6860"/>
          </w:tcPr>
          <w:p>
            <w:pPr>
              <w:bidi w:val="1"/>
              <w:spacing w:before="0" w:after="0" w:line="276" w:lineRule="auto"/>
            </w:pPr>
            <w:r>
              <w:rPr>
                <w:rFonts w:ascii="Arial" w:hAnsi="Arial" w:cs="Arial" w:eastAsia="Arial"/>
                <w:b/>
                <w:bCs/>
                <w:color w:val="0E1E3A"/>
                <w:sz w:val="18"/>
                <w:szCs w:val="18"/>
              </w:rPr>
              <w:t>‎2.87%‎</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تاريخ الإدراج (من تاريخ الإدراج إلى نهاية الربع الرابع 2024م)</w:t>
            </w:r>
          </w:p>
        </w:tc>
        <w:tc>
          <w:tcPr>
            <w:tcW w:type="dxa" w:w="6860"/>
          </w:tcPr>
          <w:p>
            <w:pPr>
              <w:bidi w:val="1"/>
              <w:spacing w:before="0" w:after="0" w:line="276" w:lineRule="auto"/>
            </w:pPr>
            <w:r>
              <w:rPr>
                <w:rFonts w:ascii="Arial" w:hAnsi="Arial" w:cs="Arial" w:eastAsia="Arial"/>
                <w:b/>
                <w:bCs/>
                <w:color w:val="0E1E3A"/>
                <w:sz w:val="18"/>
                <w:szCs w:val="18"/>
              </w:rPr>
              <w:t>‎-35.40%‎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أعلى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7.23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أدنى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6.20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الوحدات القائمة</w:t>
            </w:r>
          </w:p>
        </w:tc>
        <w:tc>
          <w:tcPr>
            <w:tcW w:type="dxa" w:w="6860"/>
          </w:tcPr>
          <w:p>
            <w:pPr>
              <w:bidi w:val="1"/>
              <w:spacing w:before="0" w:after="0" w:line="276" w:lineRule="auto"/>
            </w:pPr>
            <w:r>
              <w:rPr>
                <w:rFonts w:ascii="Arial" w:hAnsi="Arial" w:cs="Arial" w:eastAsia="Arial"/>
                <w:b/>
                <w:bCs/>
                <w:color w:val="0E1E3A"/>
                <w:sz w:val="18"/>
                <w:szCs w:val="18"/>
                <w:rtl/>
              </w:rPr>
              <w:t>47,281,470 وحدة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مكرر الربحية</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6" name="Picture 9042"/>
            <wp:cNvGraphicFramePr>
              <a:graphicFrameLocks noChangeAspect="1"/>
            </wp:cNvGraphicFramePr>
            <a:graphic>
              <a:graphicData uri="http://schemas.openxmlformats.org/drawingml/2006/picture">
                <pic:pic>
                  <pic:nvPicPr>
                    <pic:cNvPr id="0" name="ico_737e94dc9d8d67dbf235ae564951a5f7.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الأرباح</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سياسة توزيع الأرباح</w:t>
            </w:r>
          </w:p>
        </w:tc>
        <w:tc>
          <w:tcPr>
            <w:tcW w:type="dxa" w:w="6860"/>
          </w:tcPr>
          <w:p>
            <w:pPr>
              <w:bidi w:val="1"/>
              <w:spacing w:before="0" w:after="0" w:line="276" w:lineRule="auto"/>
            </w:pPr>
            <w:r>
              <w:rPr>
                <w:rFonts w:ascii="Arial" w:hAnsi="Arial" w:cs="Arial" w:eastAsia="Arial"/>
                <w:b/>
                <w:bCs/>
                <w:color w:val="0E1E3A"/>
                <w:sz w:val="18"/>
                <w:szCs w:val="18"/>
                <w:rtl/>
              </w:rPr>
              <w:t xml:space="preserve">سيقوم مدير الصندوق بتوزيع </w:t>
            </w:r>
            <w:r>
              <w:rPr>
                <w:rFonts w:ascii="Arial" w:hAnsi="Arial" w:cs="Arial" w:eastAsia="Arial"/>
                <w:b/>
                <w:bCs/>
                <w:color w:val="0E1E3A"/>
                <w:sz w:val="18"/>
                <w:szCs w:val="18"/>
              </w:rPr>
              <w:t>‎100%‎</w:t>
            </w:r>
            <w:r>
              <w:rPr>
                <w:rFonts w:ascii="Arial" w:hAnsi="Arial" w:cs="Arial" w:eastAsia="Arial"/>
                <w:b/>
                <w:bCs/>
                <w:color w:val="0E1E3A"/>
                <w:sz w:val="18"/>
                <w:szCs w:val="18"/>
                <w:rtl/>
              </w:rPr>
              <w:t xml:space="preserve"> من الأرباح نصف السنوية المستلمة من عوائد استثمارات الصندوق، بعد خصم المصروفات على مالكي الوحدات مرتين في السنة، على أن تكون التوزيعات خلال شهري أغسطس وفبراير سنويا.</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المدفوعة خلال الربع المعني *</w:t>
            </w:r>
          </w:p>
        </w:tc>
        <w:tc>
          <w:tcPr>
            <w:tcW w:type="dxa" w:w="6860"/>
          </w:tcPr>
          <w:p>
            <w:pPr>
              <w:bidi w:val="1"/>
              <w:spacing w:before="0" w:after="0" w:line="276" w:lineRule="auto"/>
            </w:pPr>
            <w:r>
              <w:rPr>
                <w:rFonts w:ascii="Arial" w:hAnsi="Arial" w:cs="Arial" w:eastAsia="Arial"/>
                <w:b/>
                <w:bCs/>
                <w:color w:val="0E1E3A"/>
                <w:sz w:val="18"/>
                <w:szCs w:val="18"/>
                <w:rtl/>
              </w:rPr>
              <w:t>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عن آخر فترة نصف سنوية **</w:t>
            </w:r>
          </w:p>
        </w:tc>
        <w:tc>
          <w:tcPr>
            <w:tcW w:type="dxa" w:w="6860"/>
          </w:tcPr>
          <w:p>
            <w:pPr>
              <w:bidi w:val="1"/>
              <w:spacing w:before="0" w:after="0" w:line="276" w:lineRule="auto"/>
            </w:pPr>
            <w:r>
              <w:rPr>
                <w:rFonts w:ascii="Arial" w:hAnsi="Arial" w:cs="Arial" w:eastAsia="Arial"/>
                <w:b/>
                <w:bCs/>
                <w:color w:val="0E1E3A"/>
                <w:sz w:val="18"/>
                <w:szCs w:val="18"/>
                <w:rtl/>
              </w:rPr>
              <w:t>13,238,812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الربح الموزع عن آخر فترة نصف سنوية عن كل وحدة</w:t>
            </w:r>
          </w:p>
        </w:tc>
        <w:tc>
          <w:tcPr>
            <w:tcW w:type="dxa" w:w="6860"/>
          </w:tcPr>
          <w:p>
            <w:pPr>
              <w:bidi w:val="1"/>
              <w:spacing w:before="0" w:after="0" w:line="276" w:lineRule="auto"/>
            </w:pPr>
            <w:r>
              <w:rPr>
                <w:rFonts w:ascii="Arial" w:hAnsi="Arial" w:cs="Arial" w:eastAsia="Arial"/>
                <w:b/>
                <w:bCs/>
                <w:color w:val="0E1E3A"/>
                <w:sz w:val="18"/>
                <w:szCs w:val="18"/>
                <w:rtl/>
              </w:rPr>
              <w:t>0.28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في الربع المعني من سعر الوحدة الأولي</w:t>
            </w:r>
          </w:p>
        </w:tc>
        <w:tc>
          <w:tcPr>
            <w:tcW w:type="dxa" w:w="6860"/>
          </w:tcPr>
          <w:p>
            <w:pPr>
              <w:bidi w:val="1"/>
              <w:spacing w:before="0" w:after="0" w:line="276" w:lineRule="auto"/>
            </w:pPr>
            <w:r>
              <w:rPr>
                <w:rFonts w:ascii="Arial" w:hAnsi="Arial" w:cs="Arial" w:eastAsia="Arial"/>
                <w:b/>
                <w:bCs/>
                <w:color w:val="0E1E3A"/>
                <w:sz w:val="18"/>
                <w:szCs w:val="18"/>
                <w:rtl/>
              </w:rPr>
              <w:t>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على سعر الوحدة</w:t>
            </w:r>
          </w:p>
        </w:tc>
        <w:tc>
          <w:tcPr>
            <w:tcW w:type="dxa" w:w="6860"/>
          </w:tcPr>
          <w:p>
            <w:pPr>
              <w:bidi w:val="1"/>
              <w:spacing w:before="0" w:after="0" w:line="276" w:lineRule="auto"/>
            </w:pPr>
            <w:r>
              <w:rPr>
                <w:rFonts w:ascii="Arial" w:hAnsi="Arial" w:cs="Arial" w:eastAsia="Arial"/>
                <w:b/>
                <w:bCs/>
                <w:color w:val="0E1E3A"/>
                <w:sz w:val="18"/>
                <w:szCs w:val="18"/>
                <w:rtl/>
              </w:rPr>
              <w:t>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للربع المعني *</w:t>
            </w:r>
          </w:p>
        </w:tc>
        <w:tc>
          <w:tcPr>
            <w:tcW w:type="dxa" w:w="6860"/>
          </w:tcPr>
          <w:p>
            <w:pPr>
              <w:bidi w:val="1"/>
              <w:spacing w:before="0" w:after="0" w:line="276" w:lineRule="auto"/>
            </w:pPr>
            <w:r>
              <w:rPr>
                <w:rFonts w:ascii="Arial" w:hAnsi="Arial" w:cs="Arial" w:eastAsia="Arial"/>
                <w:b/>
                <w:bCs/>
                <w:color w:val="0E1E3A"/>
                <w:sz w:val="18"/>
                <w:szCs w:val="18"/>
                <w:rtl/>
              </w:rPr>
              <w:t>2,770,021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للربع المعني على سعر الوحدة (31 ديسمبر 2024م)</w:t>
            </w:r>
          </w:p>
        </w:tc>
        <w:tc>
          <w:tcPr>
            <w:tcW w:type="dxa" w:w="6860"/>
          </w:tcPr>
          <w:p>
            <w:pPr>
              <w:bidi w:val="1"/>
              <w:spacing w:before="0" w:after="0" w:line="276" w:lineRule="auto"/>
            </w:pPr>
            <w:r>
              <w:rPr>
                <w:rFonts w:ascii="Arial" w:hAnsi="Arial" w:cs="Arial" w:eastAsia="Arial"/>
                <w:b/>
                <w:bCs/>
                <w:color w:val="0E1E3A"/>
                <w:sz w:val="18"/>
                <w:szCs w:val="18"/>
              </w:rPr>
              <w:t>‎0.91%‎</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من 1 أكتوبر 2024م إلى 31 ديسمبر 2024م.</w:t>
      </w:r>
      <w:r>
        <w:br/>
      </w:r>
      <w:r>
        <w:rPr>
          <w:rFonts w:ascii="Arial" w:hAnsi="Arial" w:cs="Arial" w:eastAsia="Arial"/>
          <w:color w:val="5A6478"/>
          <w:sz w:val="17"/>
          <w:szCs w:val="17"/>
          <w:rtl/>
        </w:rPr>
        <w:t>** من 1 أبريل 2024م إلى 30 سبتمبر 2024م (تم دفع الأرباح الموزعة بتاريخ 20 اغسطس 2024م).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7" name="Picture 904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أداء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المؤشر الاسترشادي</w:t>
            </w:r>
          </w:p>
        </w:tc>
        <w:tc>
          <w:tcPr>
            <w:tcW w:type="dxa" w:w="6860"/>
          </w:tcPr>
          <w:p>
            <w:pPr>
              <w:bidi w:val="1"/>
              <w:spacing w:before="0" w:after="0" w:line="276" w:lineRule="auto"/>
            </w:pPr>
            <w:r>
              <w:rPr>
                <w:rFonts w:ascii="Arial" w:hAnsi="Arial" w:cs="Arial" w:eastAsia="Arial"/>
                <w:b/>
                <w:bCs/>
                <w:color w:val="0E1E3A"/>
                <w:sz w:val="18"/>
                <w:szCs w:val="18"/>
                <w:rtl/>
              </w:rPr>
              <w:t>معدل فائدة التمويل المضمون لليلة واحدة (SOFR) لمدة 12 شهرًا، زائد 300 نقطة أساس *</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الأولي (عند بداية الطرح)</w:t>
            </w:r>
          </w:p>
        </w:tc>
        <w:tc>
          <w:tcPr>
            <w:tcW w:type="dxa" w:w="6860"/>
          </w:tcPr>
          <w:p>
            <w:pPr>
              <w:bidi w:val="1"/>
              <w:spacing w:before="0" w:after="0" w:line="276" w:lineRule="auto"/>
            </w:pPr>
            <w:r>
              <w:rPr>
                <w:rFonts w:ascii="Arial" w:hAnsi="Arial" w:cs="Arial" w:eastAsia="Arial"/>
                <w:b/>
                <w:bCs/>
                <w:color w:val="0E1E3A"/>
                <w:sz w:val="18"/>
                <w:szCs w:val="18"/>
                <w:rtl/>
              </w:rPr>
              <w:t>10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الفترة السابقة **</w:t>
            </w:r>
          </w:p>
        </w:tc>
        <w:tc>
          <w:tcPr>
            <w:tcW w:type="dxa" w:w="6860"/>
          </w:tcPr>
          <w:p>
            <w:pPr>
              <w:bidi w:val="1"/>
              <w:spacing w:before="0" w:after="0" w:line="276" w:lineRule="auto"/>
            </w:pPr>
            <w:r>
              <w:rPr>
                <w:rFonts w:ascii="Arial" w:hAnsi="Arial" w:cs="Arial" w:eastAsia="Arial"/>
                <w:b/>
                <w:bCs/>
                <w:color w:val="0E1E3A"/>
                <w:sz w:val="18"/>
                <w:szCs w:val="18"/>
              </w:rPr>
              <w:t>‎2.87%‎</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تاريخ البدء ***</w:t>
            </w:r>
          </w:p>
        </w:tc>
        <w:tc>
          <w:tcPr>
            <w:tcW w:type="dxa" w:w="6860"/>
          </w:tcPr>
          <w:p>
            <w:pPr>
              <w:bidi w:val="1"/>
              <w:spacing w:before="0" w:after="0" w:line="276" w:lineRule="auto"/>
            </w:pPr>
            <w:r>
              <w:rPr>
                <w:rFonts w:ascii="Arial" w:hAnsi="Arial" w:cs="Arial" w:eastAsia="Arial"/>
                <w:b/>
                <w:bCs/>
                <w:color w:val="0E1E3A"/>
                <w:sz w:val="18"/>
                <w:szCs w:val="18"/>
              </w:rPr>
              <w:t>‎-35.40%‎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العائد الكلي منذ تاريخ البدء ****</w:t>
            </w:r>
          </w:p>
        </w:tc>
        <w:tc>
          <w:tcPr>
            <w:tcW w:type="dxa" w:w="6860"/>
          </w:tcPr>
          <w:p>
            <w:pPr>
              <w:bidi w:val="1"/>
              <w:spacing w:before="0" w:after="0" w:line="276" w:lineRule="auto"/>
            </w:pPr>
            <w:r>
              <w:rPr>
                <w:rFonts w:ascii="Arial" w:hAnsi="Arial" w:cs="Arial" w:eastAsia="Arial"/>
                <w:b/>
                <w:bCs/>
                <w:color w:val="0E1E3A"/>
                <w:sz w:val="18"/>
                <w:szCs w:val="18"/>
              </w:rPr>
              <w:t>‎-17.20%‎</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في 16 مايو 2023م، قام الصندوق بتغيير مؤشره الاسترشادي من سعر فائدة الإقراض بين مصارف لندن (ليبور) لمدة 12 شهرًا زائد 300 نقطة أساس إلى سعر فائدة التمويل المضمون لليلة واحدة لمدة 12 شهرًا زائد 300 نقطة أساس.</w:t>
      </w:r>
      <w:r>
        <w:br/>
      </w:r>
      <w:r>
        <w:rPr>
          <w:rFonts w:ascii="Arial" w:hAnsi="Arial" w:cs="Arial" w:eastAsia="Arial"/>
          <w:color w:val="5A6478"/>
          <w:sz w:val="17"/>
          <w:szCs w:val="17"/>
          <w:rtl/>
        </w:rPr>
        <w:t>** سعر الوحدة بتاريخ 30 سبتمبر 2024م = 6.28 ر.س.</w:t>
      </w:r>
      <w:r>
        <w:br/>
      </w:r>
      <w:r>
        <w:rPr>
          <w:rFonts w:ascii="Arial" w:hAnsi="Arial" w:cs="Arial" w:eastAsia="Arial"/>
          <w:color w:val="5A6478"/>
          <w:sz w:val="17"/>
          <w:szCs w:val="17"/>
          <w:rtl/>
        </w:rPr>
        <w:t>*** من تاريخ بدء الصندوق إلى نهاية الربع الرابع من العام 2024م.</w:t>
      </w:r>
      <w:r>
        <w:br/>
      </w:r>
      <w:r>
        <w:rPr>
          <w:rFonts w:ascii="Arial" w:hAnsi="Arial" w:cs="Arial" w:eastAsia="Arial"/>
          <w:color w:val="5A6478"/>
          <w:sz w:val="17"/>
          <w:szCs w:val="17"/>
          <w:rtl/>
        </w:rPr>
        <w:t>**** العائد الكلي = أداء سعر الوحدة + إجمالي الأرباح الموزعة (إن وجدت).</w:t>
      </w:r>
      <w:r>
        <w:br/>
      </w:r>
      <w:r>
        <w:rPr>
          <w:rFonts w:ascii="Arial" w:hAnsi="Arial" w:cs="Arial" w:eastAsia="Arial"/>
          <w:color w:val="5A6478"/>
          <w:sz w:val="17"/>
          <w:szCs w:val="17"/>
          <w:rtl/>
        </w:rPr>
        <w:t>ملاحظة: يجب الإحاطة بأن سعر الوحدة في السوق المالية يخضع للارتفاع والانخفاض بناء على عوامل السوق.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8" name="Picture 904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وصف المؤشر الاسترشادي للصندوق</w:t>
      </w:r>
    </w:p>
    <w:p>
      <w:pPr>
        <w:bidi w:val="1"/>
        <w:spacing w:before="0" w:after="80" w:line="312" w:lineRule="auto"/>
      </w:pPr>
      <w:r>
        <w:rPr>
          <w:rFonts w:ascii="Arial" w:hAnsi="Arial" w:cs="Arial" w:eastAsia="Arial"/>
          <w:color w:val="0E1E3A"/>
          <w:sz w:val="20"/>
          <w:szCs w:val="20"/>
          <w:rtl/>
        </w:rPr>
        <w:t>المؤشر الاسترشادي للصندوق هو مؤشر معدل فائدة التمويل المضمون لليلة واحدة (SOFR) لمدة 12 شهرًا زائد 300 نقطة أساس.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9" name="Picture 9045"/>
            <wp:cNvGraphicFramePr>
              <a:graphicFrameLocks noChangeAspect="1"/>
            </wp:cNvGraphicFramePr>
            <a:graphic>
              <a:graphicData uri="http://schemas.openxmlformats.org/drawingml/2006/picture">
                <pic:pic>
                  <pic:nvPicPr>
                    <pic:cNvPr id="0" name="ico_a4c5ee8beea27f59442669cc4fdf4aa4.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قياس الأداء</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bidi w:val="1"/>
              <w:spacing w:before="0" w:after="0" w:line="264" w:lineRule="auto"/>
            </w:pP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صندوق الخبير للدخل</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معدل فائدة التمويل المضمون لليلة واحدة لمدة 12 شهرًا زائد 300 نقطة أساس</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بداية الفترة *</w:t>
            </w:r>
          </w:p>
        </w:tc>
        <w:tc>
          <w:tcPr>
            <w:tcW w:type="dxa" w:w="3326"/>
          </w:tcPr>
          <w:p>
            <w:pPr>
              <w:bidi w:val="1"/>
              <w:spacing w:before="0" w:after="0" w:line="264" w:lineRule="auto"/>
            </w:pPr>
            <w:r>
              <w:rPr>
                <w:rFonts w:ascii="Arial" w:hAnsi="Arial" w:cs="Arial" w:eastAsia="Arial"/>
                <w:color w:val="0E1E3A"/>
                <w:sz w:val="17"/>
                <w:szCs w:val="17"/>
                <w:rtl/>
              </w:rPr>
              <w:t>9.6216</w:t>
            </w:r>
          </w:p>
        </w:tc>
        <w:tc>
          <w:tcPr>
            <w:tcW w:type="dxa" w:w="3326"/>
          </w:tcPr>
          <w:p>
            <w:pPr>
              <w:bidi w:val="1"/>
              <w:spacing w:before="0" w:after="0" w:line="264" w:lineRule="auto"/>
            </w:pPr>
            <w:r>
              <w:rPr>
                <w:rFonts w:ascii="Arial" w:hAnsi="Arial" w:cs="Arial" w:eastAsia="Arial"/>
                <w:color w:val="0E1E3A"/>
                <w:sz w:val="17"/>
                <w:szCs w:val="17"/>
                <w:rtl/>
              </w:rPr>
              <w:t>لا ينطبق</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نهاية الفترة **</w:t>
            </w:r>
          </w:p>
        </w:tc>
        <w:tc>
          <w:tcPr>
            <w:tcW w:type="dxa" w:w="3326"/>
          </w:tcPr>
          <w:p>
            <w:pPr>
              <w:bidi w:val="1"/>
              <w:spacing w:before="0" w:after="0" w:line="264" w:lineRule="auto"/>
            </w:pPr>
            <w:r>
              <w:rPr>
                <w:rFonts w:ascii="Arial" w:hAnsi="Arial" w:cs="Arial" w:eastAsia="Arial"/>
                <w:color w:val="0E1E3A"/>
                <w:sz w:val="17"/>
                <w:szCs w:val="17"/>
                <w:rtl/>
              </w:rPr>
              <w:t>9.6100</w:t>
            </w:r>
          </w:p>
        </w:tc>
        <w:tc>
          <w:tcPr>
            <w:tcW w:type="dxa" w:w="3326"/>
          </w:tcPr>
          <w:p>
            <w:pPr>
              <w:bidi w:val="1"/>
              <w:spacing w:before="0" w:after="0" w:line="264" w:lineRule="auto"/>
            </w:pPr>
            <w:r>
              <w:rPr>
                <w:rFonts w:ascii="Arial" w:hAnsi="Arial" w:cs="Arial" w:eastAsia="Arial"/>
                <w:color w:val="0E1E3A"/>
                <w:sz w:val="17"/>
                <w:szCs w:val="17"/>
                <w:rtl/>
              </w:rPr>
              <w:t>لا ينطبق</w:t>
            </w:r>
          </w:p>
        </w:tc>
      </w:tr>
      <w:tr>
        <w:tc>
          <w:tcPr>
            <w:tcW w:type="dxa" w:w="3326"/>
          </w:tcPr>
          <w:p>
            <w:pPr>
              <w:bidi w:val="1"/>
              <w:spacing w:before="0" w:after="0" w:line="264" w:lineRule="auto"/>
            </w:pPr>
            <w:r>
              <w:rPr>
                <w:rFonts w:ascii="Arial" w:hAnsi="Arial" w:cs="Arial" w:eastAsia="Arial"/>
                <w:color w:val="0E1E3A"/>
                <w:sz w:val="17"/>
                <w:szCs w:val="17"/>
                <w:rtl/>
              </w:rPr>
              <w:t>أداء الوحدة</w:t>
            </w:r>
          </w:p>
        </w:tc>
        <w:tc>
          <w:tcPr>
            <w:tcW w:type="dxa" w:w="3326"/>
          </w:tcPr>
          <w:p>
            <w:pPr>
              <w:bidi w:val="1"/>
              <w:spacing w:before="0" w:after="0" w:line="264" w:lineRule="auto"/>
            </w:pPr>
            <w:r>
              <w:rPr>
                <w:rFonts w:ascii="Arial" w:hAnsi="Arial" w:cs="Arial" w:eastAsia="Arial"/>
                <w:color w:val="0E1E3A"/>
                <w:sz w:val="17"/>
                <w:szCs w:val="17"/>
              </w:rPr>
              <w:t>‎-0.12%‎</w:t>
            </w:r>
          </w:p>
        </w:tc>
        <w:tc>
          <w:tcPr>
            <w:tcW w:type="dxa" w:w="3326"/>
          </w:tcPr>
          <w:p>
            <w:pPr>
              <w:bidi w:val="1"/>
              <w:spacing w:before="0" w:after="0" w:line="264" w:lineRule="auto"/>
            </w:pPr>
            <w:r>
              <w:rPr>
                <w:rFonts w:ascii="Arial" w:hAnsi="Arial" w:cs="Arial" w:eastAsia="Arial"/>
                <w:color w:val="0E1E3A"/>
                <w:sz w:val="17"/>
                <w:szCs w:val="17"/>
                <w:rtl/>
              </w:rPr>
              <w:t xml:space="preserve">*** </w:t>
            </w:r>
            <w:r>
              <w:rPr>
                <w:rFonts w:ascii="Arial" w:hAnsi="Arial" w:cs="Arial" w:eastAsia="Arial"/>
                <w:color w:val="0E1E3A"/>
                <w:sz w:val="17"/>
                <w:szCs w:val="17"/>
              </w:rPr>
              <w:t>‎1.75%‎</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30 سبتمبر 2024م.</w:t>
      </w:r>
      <w:r>
        <w:br/>
      </w:r>
      <w:r>
        <w:rPr>
          <w:rFonts w:ascii="Arial" w:hAnsi="Arial" w:cs="Arial" w:eastAsia="Arial"/>
          <w:color w:val="5A6478"/>
          <w:sz w:val="17"/>
          <w:szCs w:val="17"/>
          <w:rtl/>
        </w:rPr>
        <w:t>** كما في تاريخ 31 ديسمبر 2024م.</w:t>
      </w:r>
      <w:r>
        <w:br/>
      </w:r>
      <w:r>
        <w:rPr>
          <w:rFonts w:ascii="Arial" w:hAnsi="Arial" w:cs="Arial" w:eastAsia="Arial"/>
          <w:color w:val="5A6478"/>
          <w:sz w:val="17"/>
          <w:szCs w:val="17"/>
          <w:rtl/>
        </w:rPr>
        <w:t xml:space="preserve">*** متوسط أداء المؤشر الاسترشادي يعادل </w:t>
      </w:r>
      <w:r>
        <w:rPr>
          <w:rFonts w:ascii="Arial" w:hAnsi="Arial" w:cs="Arial" w:eastAsia="Arial"/>
          <w:color w:val="5A6478"/>
          <w:sz w:val="17"/>
          <w:szCs w:val="17"/>
        </w:rPr>
        <w:t>‎7.66%‎</w:t>
      </w:r>
      <w:r>
        <w:rPr>
          <w:rFonts w:ascii="Arial" w:hAnsi="Arial" w:cs="Arial" w:eastAsia="Arial"/>
          <w:color w:val="5A6478"/>
          <w:sz w:val="17"/>
          <w:szCs w:val="17"/>
          <w:rtl/>
        </w:rPr>
        <w:t xml:space="preserve"> سنويا، أي ما يعادل عائد </w:t>
      </w:r>
      <w:r>
        <w:rPr>
          <w:rFonts w:ascii="Arial" w:hAnsi="Arial" w:cs="Arial" w:eastAsia="Arial"/>
          <w:color w:val="5A6478"/>
          <w:sz w:val="17"/>
          <w:szCs w:val="17"/>
        </w:rPr>
        <w:t>‎1.75%‎</w:t>
      </w:r>
      <w:r>
        <w:rPr>
          <w:rFonts w:ascii="Arial" w:hAnsi="Arial" w:cs="Arial" w:eastAsia="Arial"/>
          <w:color w:val="5A6478"/>
          <w:sz w:val="17"/>
          <w:szCs w:val="17"/>
          <w:rtl/>
        </w:rPr>
        <w:t xml:space="preserve"> للربع المعني.</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0" name="Picture 904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ملكية استثمارات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الملكية</w:t>
            </w:r>
          </w:p>
        </w:tc>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النسبة (%)</w:t>
            </w:r>
          </w:p>
        </w:tc>
      </w:tr>
      <w:tr>
        <w:tc>
          <w:tcPr>
            <w:tcW w:type="dxa" w:w="4989"/>
          </w:tcPr>
          <w:p>
            <w:pPr>
              <w:bidi w:val="1"/>
              <w:spacing w:before="0" w:after="0" w:line="264" w:lineRule="auto"/>
            </w:pPr>
            <w:r>
              <w:rPr>
                <w:rFonts w:ascii="Arial" w:hAnsi="Arial" w:cs="Arial" w:eastAsia="Arial"/>
                <w:color w:val="0E1E3A"/>
                <w:sz w:val="17"/>
                <w:szCs w:val="17"/>
                <w:rtl/>
              </w:rPr>
              <w:t>ملكية تامة</w:t>
            </w:r>
          </w:p>
        </w:tc>
        <w:tc>
          <w:tcPr>
            <w:tcW w:type="dxa" w:w="4989"/>
          </w:tcPr>
          <w:p>
            <w:pPr>
              <w:bidi w:val="1"/>
              <w:spacing w:before="0" w:after="0" w:line="264" w:lineRule="auto"/>
            </w:pPr>
            <w:r>
              <w:rPr>
                <w:rFonts w:ascii="Arial" w:hAnsi="Arial" w:cs="Arial" w:eastAsia="Arial"/>
                <w:color w:val="0E1E3A"/>
                <w:sz w:val="17"/>
                <w:szCs w:val="17"/>
              </w:rPr>
              <w:t>‎100%‎</w:t>
            </w:r>
          </w:p>
        </w:tc>
      </w:tr>
      <w:tr>
        <w:tc>
          <w:tcPr>
            <w:tcW w:type="dxa" w:w="4989"/>
          </w:tcPr>
          <w:p>
            <w:pPr>
              <w:bidi w:val="1"/>
              <w:spacing w:before="0" w:after="0" w:line="264" w:lineRule="auto"/>
            </w:pPr>
            <w:r>
              <w:rPr>
                <w:rFonts w:ascii="Arial" w:hAnsi="Arial" w:cs="Arial" w:eastAsia="Arial"/>
                <w:color w:val="0E1E3A"/>
                <w:sz w:val="17"/>
                <w:szCs w:val="17"/>
                <w:rtl/>
              </w:rPr>
              <w:t>حق منفعة</w:t>
            </w:r>
          </w:p>
        </w:tc>
        <w:tc>
          <w:tcPr>
            <w:tcW w:type="dxa" w:w="4989"/>
          </w:tcPr>
          <w:p>
            <w:pPr>
              <w:bidi w:val="1"/>
              <w:spacing w:before="0" w:after="0" w:line="264" w:lineRule="auto"/>
            </w:pPr>
            <w:r>
              <w:rPr>
                <w:rFonts w:ascii="Arial" w:hAnsi="Arial" w:cs="Arial" w:eastAsia="Arial"/>
                <w:color w:val="0E1E3A"/>
                <w:sz w:val="17"/>
                <w:szCs w:val="17"/>
              </w:rPr>
              <w:t>‎0%‎</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1" name="Picture 9047"/>
            <wp:cNvGraphicFramePr>
              <a:graphicFrameLocks noChangeAspect="1"/>
            </wp:cNvGraphicFramePr>
            <a:graphic>
              <a:graphicData uri="http://schemas.openxmlformats.org/drawingml/2006/picture">
                <pic:pic>
                  <pic:nvPicPr>
                    <pic:cNvPr id="0" name="ico_a4c5ee8beea27f59442669cc4fdf4aa4.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العوائد</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البند</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أشهر *</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 **</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 ***</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العائد الكلي إلى صافي قيمة الوحدة "أداء الصندوق"</w:t>
            </w:r>
          </w:p>
        </w:tc>
        <w:tc>
          <w:tcPr>
            <w:tcW w:type="dxa" w:w="1663"/>
          </w:tcPr>
          <w:p>
            <w:pPr>
              <w:bidi w:val="1"/>
              <w:spacing w:before="0" w:after="0" w:line="264" w:lineRule="auto"/>
            </w:pPr>
            <w:r>
              <w:rPr>
                <w:rFonts w:ascii="Arial" w:hAnsi="Arial" w:cs="Arial" w:eastAsia="Arial"/>
                <w:color w:val="0E1E3A"/>
                <w:sz w:val="17"/>
                <w:szCs w:val="17"/>
              </w:rPr>
              <w:t>‎-0.12%‎</w:t>
            </w:r>
          </w:p>
        </w:tc>
        <w:tc>
          <w:tcPr>
            <w:tcW w:type="dxa" w:w="1663"/>
          </w:tcPr>
          <w:p>
            <w:pPr>
              <w:bidi w:val="1"/>
              <w:spacing w:before="0" w:after="0" w:line="264" w:lineRule="auto"/>
            </w:pPr>
            <w:r>
              <w:rPr>
                <w:rFonts w:ascii="Arial" w:hAnsi="Arial" w:cs="Arial" w:eastAsia="Arial"/>
                <w:color w:val="0E1E3A"/>
                <w:sz w:val="17"/>
                <w:szCs w:val="17"/>
              </w:rPr>
              <w:t>‎2.66%‎</w:t>
            </w:r>
          </w:p>
        </w:tc>
        <w:tc>
          <w:tcPr>
            <w:tcW w:type="dxa" w:w="1663"/>
          </w:tcPr>
          <w:p>
            <w:pPr>
              <w:bidi w:val="1"/>
              <w:spacing w:before="0" w:after="0" w:line="264" w:lineRule="auto"/>
            </w:pPr>
            <w:r>
              <w:rPr>
                <w:rFonts w:ascii="Arial" w:hAnsi="Arial" w:cs="Arial" w:eastAsia="Arial"/>
                <w:color w:val="0E1E3A"/>
                <w:sz w:val="17"/>
                <w:szCs w:val="17"/>
              </w:rPr>
              <w:t>‎2.66%‎</w:t>
            </w:r>
          </w:p>
        </w:tc>
        <w:tc>
          <w:tcPr>
            <w:tcW w:type="dxa" w:w="1663"/>
          </w:tcPr>
          <w:p>
            <w:pPr>
              <w:bidi w:val="1"/>
              <w:spacing w:before="0" w:after="0" w:line="264" w:lineRule="auto"/>
            </w:pPr>
            <w:r>
              <w:rPr>
                <w:rFonts w:ascii="Arial" w:hAnsi="Arial" w:cs="Arial" w:eastAsia="Arial"/>
                <w:color w:val="0E1E3A"/>
                <w:sz w:val="17"/>
                <w:szCs w:val="17"/>
              </w:rPr>
              <w:t>‎13.78%‎</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أداء المؤشر الاسترشادي</w:t>
            </w:r>
          </w:p>
        </w:tc>
        <w:tc>
          <w:tcPr>
            <w:tcW w:type="dxa" w:w="1663"/>
          </w:tcPr>
          <w:p>
            <w:pPr>
              <w:bidi w:val="1"/>
              <w:spacing w:before="0" w:after="0" w:line="264" w:lineRule="auto"/>
            </w:pPr>
            <w:r>
              <w:rPr>
                <w:rFonts w:ascii="Arial" w:hAnsi="Arial" w:cs="Arial" w:eastAsia="Arial"/>
                <w:color w:val="0E1E3A"/>
                <w:sz w:val="17"/>
                <w:szCs w:val="17"/>
              </w:rPr>
              <w:t>‎1.75%‎</w:t>
            </w:r>
          </w:p>
        </w:tc>
        <w:tc>
          <w:tcPr>
            <w:tcW w:type="dxa" w:w="1663"/>
          </w:tcPr>
          <w:p>
            <w:pPr>
              <w:bidi w:val="1"/>
              <w:spacing w:before="0" w:after="0" w:line="264" w:lineRule="auto"/>
            </w:pPr>
            <w:r>
              <w:rPr>
                <w:rFonts w:ascii="Arial" w:hAnsi="Arial" w:cs="Arial" w:eastAsia="Arial"/>
                <w:color w:val="0E1E3A"/>
                <w:sz w:val="17"/>
                <w:szCs w:val="17"/>
              </w:rPr>
              <w:t>‎7.66%‎</w:t>
            </w:r>
          </w:p>
        </w:tc>
        <w:tc>
          <w:tcPr>
            <w:tcW w:type="dxa" w:w="1663"/>
          </w:tcPr>
          <w:p>
            <w:pPr>
              <w:bidi w:val="1"/>
              <w:spacing w:before="0" w:after="0" w:line="264" w:lineRule="auto"/>
            </w:pPr>
            <w:r>
              <w:rPr>
                <w:rFonts w:ascii="Arial" w:hAnsi="Arial" w:cs="Arial" w:eastAsia="Arial"/>
                <w:color w:val="0E1E3A"/>
                <w:sz w:val="17"/>
                <w:szCs w:val="17"/>
              </w:rPr>
              <w:t>‎7.66%‎</w:t>
            </w:r>
          </w:p>
        </w:tc>
        <w:tc>
          <w:tcPr>
            <w:tcW w:type="dxa" w:w="1663"/>
          </w:tcPr>
          <w:p>
            <w:pPr>
              <w:bidi w:val="1"/>
              <w:spacing w:before="0" w:after="0" w:line="264" w:lineRule="auto"/>
            </w:pPr>
            <w:r>
              <w:rPr>
                <w:rFonts w:ascii="Arial" w:hAnsi="Arial" w:cs="Arial" w:eastAsia="Arial"/>
                <w:color w:val="0E1E3A"/>
                <w:sz w:val="17"/>
                <w:szCs w:val="17"/>
              </w:rPr>
              <w:t>‎28.04%‎</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فارق الأداء</w:t>
            </w:r>
          </w:p>
        </w:tc>
        <w:tc>
          <w:tcPr>
            <w:tcW w:type="dxa" w:w="1663"/>
          </w:tcPr>
          <w:p>
            <w:pPr>
              <w:bidi w:val="1"/>
              <w:spacing w:before="0" w:after="0" w:line="264" w:lineRule="auto"/>
            </w:pPr>
            <w:r>
              <w:rPr>
                <w:rFonts w:ascii="Arial" w:hAnsi="Arial" w:cs="Arial" w:eastAsia="Arial"/>
                <w:color w:val="0E1E3A"/>
                <w:sz w:val="17"/>
                <w:szCs w:val="17"/>
              </w:rPr>
              <w:t>‎-1.87%‎</w:t>
            </w:r>
          </w:p>
        </w:tc>
        <w:tc>
          <w:tcPr>
            <w:tcW w:type="dxa" w:w="1663"/>
          </w:tcPr>
          <w:p>
            <w:pPr>
              <w:bidi w:val="1"/>
              <w:spacing w:before="0" w:after="0" w:line="264" w:lineRule="auto"/>
            </w:pPr>
            <w:r>
              <w:rPr>
                <w:rFonts w:ascii="Arial" w:hAnsi="Arial" w:cs="Arial" w:eastAsia="Arial"/>
                <w:color w:val="0E1E3A"/>
                <w:sz w:val="17"/>
                <w:szCs w:val="17"/>
              </w:rPr>
              <w:t>‎-5.00%‎</w:t>
            </w:r>
          </w:p>
        </w:tc>
        <w:tc>
          <w:tcPr>
            <w:tcW w:type="dxa" w:w="1663"/>
          </w:tcPr>
          <w:p>
            <w:pPr>
              <w:bidi w:val="1"/>
              <w:spacing w:before="0" w:after="0" w:line="264" w:lineRule="auto"/>
            </w:pPr>
            <w:r>
              <w:rPr>
                <w:rFonts w:ascii="Arial" w:hAnsi="Arial" w:cs="Arial" w:eastAsia="Arial"/>
                <w:color w:val="0E1E3A"/>
                <w:sz w:val="17"/>
                <w:szCs w:val="17"/>
              </w:rPr>
              <w:t>‎-5.00%‎</w:t>
            </w:r>
          </w:p>
        </w:tc>
        <w:tc>
          <w:tcPr>
            <w:tcW w:type="dxa" w:w="1663"/>
          </w:tcPr>
          <w:p>
            <w:pPr>
              <w:bidi w:val="1"/>
              <w:spacing w:before="0" w:after="0" w:line="264" w:lineRule="auto"/>
            </w:pPr>
            <w:r>
              <w:rPr>
                <w:rFonts w:ascii="Arial" w:hAnsi="Arial" w:cs="Arial" w:eastAsia="Arial"/>
                <w:color w:val="0E1E3A"/>
                <w:sz w:val="17"/>
                <w:szCs w:val="17"/>
              </w:rPr>
              <w:t>‎-14.26%‎</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عن الفترة من 30 سبتمبر 2024م إلى 31 ديسمبر 2024م.</w:t>
      </w:r>
      <w:r>
        <w:br/>
      </w:r>
      <w:r>
        <w:rPr>
          <w:rFonts w:ascii="Arial" w:hAnsi="Arial" w:cs="Arial" w:eastAsia="Arial"/>
          <w:color w:val="5A6478"/>
          <w:sz w:val="17"/>
          <w:szCs w:val="17"/>
          <w:rtl/>
        </w:rPr>
        <w:t xml:space="preserve">** عن الفترة من 31 ديسمبر 2023م إلى 31 ديسمبر 2024م متضمنة التوزيعات النقدية بنسبة </w:t>
      </w:r>
      <w:r>
        <w:rPr>
          <w:rFonts w:ascii="Arial" w:hAnsi="Arial" w:cs="Arial" w:eastAsia="Arial"/>
          <w:color w:val="5A6478"/>
          <w:sz w:val="17"/>
          <w:szCs w:val="17"/>
        </w:rPr>
        <w:t>‎5.70%‎</w:t>
      </w:r>
      <w:r>
        <w:rPr>
          <w:rFonts w:ascii="Arial" w:hAnsi="Arial" w:cs="Arial" w:eastAsia="Arial"/>
          <w:color w:val="5A6478"/>
          <w:sz w:val="17"/>
          <w:szCs w:val="17"/>
          <w:rtl/>
        </w:rPr>
        <w:t>.</w:t>
      </w:r>
      <w:r>
        <w:br/>
      </w:r>
      <w:r>
        <w:rPr>
          <w:rFonts w:ascii="Arial" w:hAnsi="Arial" w:cs="Arial" w:eastAsia="Arial"/>
          <w:color w:val="5A6478"/>
          <w:sz w:val="17"/>
          <w:szCs w:val="17"/>
          <w:rtl/>
        </w:rPr>
        <w:t xml:space="preserve">*** عن الفترة من 31 ديسمبر 2023م إلى 31 ديسمبر 2024 متضمنة توزيعات نقدية بنسبة </w:t>
      </w:r>
      <w:r>
        <w:rPr>
          <w:rFonts w:ascii="Arial" w:hAnsi="Arial" w:cs="Arial" w:eastAsia="Arial"/>
          <w:color w:val="5A6478"/>
          <w:sz w:val="17"/>
          <w:szCs w:val="17"/>
        </w:rPr>
        <w:t>‎5.70%‎</w:t>
      </w:r>
      <w:r>
        <w:rPr>
          <w:rFonts w:ascii="Arial" w:hAnsi="Arial" w:cs="Arial" w:eastAsia="Arial"/>
          <w:color w:val="5A6478"/>
          <w:sz w:val="17"/>
          <w:szCs w:val="17"/>
          <w:rtl/>
        </w:rPr>
        <w:t>.</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2" name="Picture 9048"/>
            <wp:cNvGraphicFramePr>
              <a:graphicFrameLocks noChangeAspect="1"/>
            </wp:cNvGraphicFramePr>
            <a:graphic>
              <a:graphicData uri="http://schemas.openxmlformats.org/drawingml/2006/picture">
                <pic:pic>
                  <pic:nvPicPr>
                    <pic:cNvPr id="0" name="ico_47bcec02f49b9d1a764a57a70a5c8310.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معايير الأداء والمخاطر</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أشهر 1</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 2</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 3</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الانحراف المعياري 4</w:t>
            </w:r>
          </w:p>
        </w:tc>
        <w:tc>
          <w:tcPr>
            <w:tcW w:type="dxa" w:w="1663"/>
          </w:tcPr>
          <w:p>
            <w:pPr>
              <w:bidi w:val="1"/>
              <w:spacing w:before="0" w:after="0" w:line="264" w:lineRule="auto"/>
            </w:pPr>
            <w:r>
              <w:rPr>
                <w:rFonts w:ascii="Arial" w:hAnsi="Arial" w:cs="Arial" w:eastAsia="Arial"/>
                <w:color w:val="0E1E3A"/>
                <w:sz w:val="17"/>
                <w:szCs w:val="17"/>
                <w:rtl/>
              </w:rPr>
              <w:t>6.71</w:t>
            </w:r>
          </w:p>
        </w:tc>
        <w:tc>
          <w:tcPr>
            <w:tcW w:type="dxa" w:w="1663"/>
          </w:tcPr>
          <w:p>
            <w:pPr>
              <w:bidi w:val="1"/>
              <w:spacing w:before="0" w:after="0" w:line="264" w:lineRule="auto"/>
            </w:pPr>
            <w:r>
              <w:rPr>
                <w:rFonts w:ascii="Arial" w:hAnsi="Arial" w:cs="Arial" w:eastAsia="Arial"/>
                <w:color w:val="0E1E3A"/>
                <w:sz w:val="17"/>
                <w:szCs w:val="17"/>
                <w:rtl/>
              </w:rPr>
              <w:t>14.31</w:t>
            </w:r>
          </w:p>
        </w:tc>
        <w:tc>
          <w:tcPr>
            <w:tcW w:type="dxa" w:w="1663"/>
          </w:tcPr>
          <w:p>
            <w:pPr>
              <w:bidi w:val="1"/>
              <w:spacing w:before="0" w:after="0" w:line="264" w:lineRule="auto"/>
            </w:pPr>
            <w:r>
              <w:rPr>
                <w:rFonts w:ascii="Arial" w:hAnsi="Arial" w:cs="Arial" w:eastAsia="Arial"/>
                <w:color w:val="0E1E3A"/>
                <w:sz w:val="17"/>
                <w:szCs w:val="17"/>
                <w:rtl/>
              </w:rPr>
              <w:t>14.31</w:t>
            </w:r>
          </w:p>
        </w:tc>
        <w:tc>
          <w:tcPr>
            <w:tcW w:type="dxa" w:w="1663"/>
          </w:tcPr>
          <w:p>
            <w:pPr>
              <w:bidi w:val="1"/>
              <w:spacing w:before="0" w:after="0" w:line="264" w:lineRule="auto"/>
            </w:pPr>
            <w:r>
              <w:rPr>
                <w:rFonts w:ascii="Arial" w:hAnsi="Arial" w:cs="Arial" w:eastAsia="Arial"/>
                <w:color w:val="0E1E3A"/>
                <w:sz w:val="17"/>
                <w:szCs w:val="17"/>
                <w:rtl/>
              </w:rPr>
              <w:t>15.58</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شارب 5</w:t>
            </w:r>
          </w:p>
        </w:tc>
        <w:tc>
          <w:tcPr>
            <w:tcW w:type="dxa" w:w="1663"/>
          </w:tcPr>
          <w:p>
            <w:pPr>
              <w:bidi w:val="1"/>
              <w:spacing w:before="0" w:after="0" w:line="264" w:lineRule="auto"/>
            </w:pPr>
            <w:r>
              <w:rPr>
                <w:rFonts w:ascii="Arial" w:hAnsi="Arial" w:cs="Arial" w:eastAsia="Arial"/>
                <w:color w:val="0E1E3A"/>
                <w:sz w:val="17"/>
                <w:szCs w:val="17"/>
                <w:rtl/>
              </w:rPr>
              <w:t>1.15</w:t>
            </w:r>
          </w:p>
        </w:tc>
        <w:tc>
          <w:tcPr>
            <w:tcW w:type="dxa" w:w="1663"/>
          </w:tcPr>
          <w:p>
            <w:pPr>
              <w:bidi w:val="1"/>
              <w:spacing w:before="0" w:after="0" w:line="264" w:lineRule="auto"/>
            </w:pPr>
            <w:r>
              <w:rPr>
                <w:rFonts w:ascii="Arial" w:hAnsi="Arial" w:cs="Arial" w:eastAsia="Arial"/>
                <w:color w:val="0E1E3A"/>
                <w:sz w:val="17"/>
                <w:szCs w:val="17"/>
                <w:rtl/>
              </w:rPr>
              <w:t>-0.20</w:t>
            </w:r>
          </w:p>
        </w:tc>
        <w:tc>
          <w:tcPr>
            <w:tcW w:type="dxa" w:w="1663"/>
          </w:tcPr>
          <w:p>
            <w:pPr>
              <w:bidi w:val="1"/>
              <w:spacing w:before="0" w:after="0" w:line="264" w:lineRule="auto"/>
            </w:pPr>
            <w:r>
              <w:rPr>
                <w:rFonts w:ascii="Arial" w:hAnsi="Arial" w:cs="Arial" w:eastAsia="Arial"/>
                <w:color w:val="0E1E3A"/>
                <w:sz w:val="17"/>
                <w:szCs w:val="17"/>
                <w:rtl/>
              </w:rPr>
              <w:t>0.89</w:t>
            </w:r>
          </w:p>
        </w:tc>
        <w:tc>
          <w:tcPr>
            <w:tcW w:type="dxa" w:w="1663"/>
          </w:tcPr>
          <w:p>
            <w:pPr>
              <w:bidi w:val="1"/>
              <w:spacing w:before="0" w:after="0" w:line="264" w:lineRule="auto"/>
            </w:pPr>
            <w:r>
              <w:rPr>
                <w:rFonts w:ascii="Arial" w:hAnsi="Arial" w:cs="Arial" w:eastAsia="Arial"/>
                <w:color w:val="0E1E3A"/>
                <w:sz w:val="17"/>
                <w:szCs w:val="17"/>
                <w:rtl/>
              </w:rPr>
              <w:t>-0.36</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خطأ التتبع 6</w:t>
            </w:r>
          </w:p>
        </w:tc>
        <w:tc>
          <w:tcPr>
            <w:tcW w:type="dxa" w:w="1663"/>
          </w:tcPr>
          <w:p>
            <w:pPr>
              <w:bidi w:val="1"/>
              <w:spacing w:before="0" w:after="0" w:line="264" w:lineRule="auto"/>
            </w:pPr>
            <w:r>
              <w:rPr>
                <w:rFonts w:ascii="Arial" w:hAnsi="Arial" w:cs="Arial" w:eastAsia="Arial"/>
                <w:color w:val="0E1E3A"/>
                <w:sz w:val="17"/>
                <w:szCs w:val="17"/>
                <w:rtl/>
              </w:rPr>
              <w:t>6.75</w:t>
            </w:r>
          </w:p>
        </w:tc>
        <w:tc>
          <w:tcPr>
            <w:tcW w:type="dxa" w:w="1663"/>
          </w:tcPr>
          <w:p>
            <w:pPr>
              <w:bidi w:val="1"/>
              <w:spacing w:before="0" w:after="0" w:line="264" w:lineRule="auto"/>
            </w:pPr>
            <w:r>
              <w:rPr>
                <w:rFonts w:ascii="Arial" w:hAnsi="Arial" w:cs="Arial" w:eastAsia="Arial"/>
                <w:color w:val="0E1E3A"/>
                <w:sz w:val="17"/>
                <w:szCs w:val="17"/>
                <w:rtl/>
              </w:rPr>
              <w:t>14.30</w:t>
            </w:r>
          </w:p>
        </w:tc>
        <w:tc>
          <w:tcPr>
            <w:tcW w:type="dxa" w:w="1663"/>
          </w:tcPr>
          <w:p>
            <w:pPr>
              <w:bidi w:val="1"/>
              <w:spacing w:before="0" w:after="0" w:line="264" w:lineRule="auto"/>
            </w:pPr>
            <w:r>
              <w:rPr>
                <w:rFonts w:ascii="Arial" w:hAnsi="Arial" w:cs="Arial" w:eastAsia="Arial"/>
                <w:color w:val="0E1E3A"/>
                <w:sz w:val="17"/>
                <w:szCs w:val="17"/>
                <w:rtl/>
              </w:rPr>
              <w:t>13.41</w:t>
            </w:r>
          </w:p>
        </w:tc>
        <w:tc>
          <w:tcPr>
            <w:tcW w:type="dxa" w:w="1663"/>
          </w:tcPr>
          <w:p>
            <w:pPr>
              <w:bidi w:val="1"/>
              <w:spacing w:before="0" w:after="0" w:line="264" w:lineRule="auto"/>
            </w:pPr>
            <w:r>
              <w:rPr>
                <w:rFonts w:ascii="Arial" w:hAnsi="Arial" w:cs="Arial" w:eastAsia="Arial"/>
                <w:color w:val="0E1E3A"/>
                <w:sz w:val="17"/>
                <w:szCs w:val="17"/>
                <w:rtl/>
              </w:rPr>
              <w:t>15.62</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بيتا 7</w:t>
            </w:r>
          </w:p>
        </w:tc>
        <w:tc>
          <w:tcPr>
            <w:tcW w:type="dxa" w:w="1663"/>
          </w:tcPr>
          <w:p>
            <w:pPr>
              <w:bidi w:val="1"/>
              <w:spacing w:before="0" w:after="0" w:line="264" w:lineRule="auto"/>
            </w:pPr>
            <w:r>
              <w:rPr>
                <w:rFonts w:ascii="Arial" w:hAnsi="Arial" w:cs="Arial" w:eastAsia="Arial"/>
                <w:color w:val="0E1E3A"/>
                <w:sz w:val="17"/>
                <w:szCs w:val="17"/>
                <w:rtl/>
              </w:rPr>
              <w:t>-2.07</w:t>
            </w:r>
          </w:p>
        </w:tc>
        <w:tc>
          <w:tcPr>
            <w:tcW w:type="dxa" w:w="1663"/>
          </w:tcPr>
          <w:p>
            <w:pPr>
              <w:bidi w:val="1"/>
              <w:spacing w:before="0" w:after="0" w:line="264" w:lineRule="auto"/>
            </w:pPr>
            <w:r>
              <w:rPr>
                <w:rFonts w:ascii="Arial" w:hAnsi="Arial" w:cs="Arial" w:eastAsia="Arial"/>
                <w:color w:val="0E1E3A"/>
                <w:sz w:val="17"/>
                <w:szCs w:val="17"/>
                <w:rtl/>
              </w:rPr>
              <w:t>1.97</w:t>
            </w:r>
          </w:p>
        </w:tc>
        <w:tc>
          <w:tcPr>
            <w:tcW w:type="dxa" w:w="1663"/>
          </w:tcPr>
          <w:p>
            <w:pPr>
              <w:bidi w:val="1"/>
              <w:spacing w:before="0" w:after="0" w:line="264" w:lineRule="auto"/>
            </w:pPr>
            <w:r>
              <w:rPr>
                <w:rFonts w:ascii="Arial" w:hAnsi="Arial" w:cs="Arial" w:eastAsia="Arial"/>
                <w:color w:val="0E1E3A"/>
                <w:sz w:val="17"/>
                <w:szCs w:val="17"/>
                <w:rtl/>
              </w:rPr>
              <w:t>-1.44</w:t>
            </w:r>
          </w:p>
        </w:tc>
        <w:tc>
          <w:tcPr>
            <w:tcW w:type="dxa" w:w="1663"/>
          </w:tcPr>
          <w:p>
            <w:pPr>
              <w:bidi w:val="1"/>
              <w:spacing w:before="0" w:after="0" w:line="264" w:lineRule="auto"/>
            </w:pPr>
            <w:r>
              <w:rPr>
                <w:rFonts w:ascii="Arial" w:hAnsi="Arial" w:cs="Arial" w:eastAsia="Arial"/>
                <w:color w:val="0E1E3A"/>
                <w:sz w:val="17"/>
                <w:szCs w:val="17"/>
                <w:rtl/>
              </w:rPr>
              <w:t>-1.62</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ألفا 8</w:t>
            </w:r>
          </w:p>
        </w:tc>
        <w:tc>
          <w:tcPr>
            <w:tcW w:type="dxa" w:w="1663"/>
          </w:tcPr>
          <w:p>
            <w:pPr>
              <w:bidi w:val="1"/>
              <w:spacing w:before="0" w:after="0" w:line="264" w:lineRule="auto"/>
            </w:pPr>
            <w:r>
              <w:rPr>
                <w:rFonts w:ascii="Arial" w:hAnsi="Arial" w:cs="Arial" w:eastAsia="Arial"/>
                <w:color w:val="0E1E3A"/>
                <w:sz w:val="17"/>
                <w:szCs w:val="17"/>
                <w:rtl/>
              </w:rPr>
              <w:t>0.05</w:t>
            </w:r>
          </w:p>
        </w:tc>
        <w:tc>
          <w:tcPr>
            <w:tcW w:type="dxa" w:w="1663"/>
          </w:tcPr>
          <w:p>
            <w:pPr>
              <w:bidi w:val="1"/>
              <w:spacing w:before="0" w:after="0" w:line="264" w:lineRule="auto"/>
            </w:pPr>
            <w:r>
              <w:rPr>
                <w:rFonts w:ascii="Arial" w:hAnsi="Arial" w:cs="Arial" w:eastAsia="Arial"/>
                <w:color w:val="0E1E3A"/>
                <w:sz w:val="17"/>
                <w:szCs w:val="17"/>
                <w:rtl/>
              </w:rPr>
              <w:t>-0.06</w:t>
            </w:r>
          </w:p>
        </w:tc>
        <w:tc>
          <w:tcPr>
            <w:tcW w:type="dxa" w:w="1663"/>
          </w:tcPr>
          <w:p>
            <w:pPr>
              <w:bidi w:val="1"/>
              <w:spacing w:before="0" w:after="0" w:line="264" w:lineRule="auto"/>
            </w:pPr>
            <w:r>
              <w:rPr>
                <w:rFonts w:ascii="Arial" w:hAnsi="Arial" w:cs="Arial" w:eastAsia="Arial"/>
                <w:color w:val="0E1E3A"/>
                <w:sz w:val="17"/>
                <w:szCs w:val="17"/>
                <w:rtl/>
              </w:rPr>
              <w:t>0.02</w:t>
            </w:r>
          </w:p>
        </w:tc>
        <w:tc>
          <w:tcPr>
            <w:tcW w:type="dxa" w:w="1663"/>
          </w:tcPr>
          <w:p>
            <w:pPr>
              <w:bidi w:val="1"/>
              <w:spacing w:before="0" w:after="0" w:line="264" w:lineRule="auto"/>
            </w:pPr>
            <w:r>
              <w:rPr>
                <w:rFonts w:ascii="Arial" w:hAnsi="Arial" w:cs="Arial" w:eastAsia="Arial"/>
                <w:color w:val="0E1E3A"/>
                <w:sz w:val="17"/>
                <w:szCs w:val="17"/>
                <w:rtl/>
              </w:rPr>
              <w:t>-0.09</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المعلومات 9</w:t>
            </w:r>
          </w:p>
        </w:tc>
        <w:tc>
          <w:tcPr>
            <w:tcW w:type="dxa" w:w="1663"/>
          </w:tcPr>
          <w:p>
            <w:pPr>
              <w:bidi w:val="1"/>
              <w:spacing w:before="0" w:after="0" w:line="264" w:lineRule="auto"/>
            </w:pPr>
            <w:r>
              <w:rPr>
                <w:rFonts w:ascii="Arial" w:hAnsi="Arial" w:cs="Arial" w:eastAsia="Arial"/>
                <w:color w:val="0E1E3A"/>
                <w:sz w:val="17"/>
                <w:szCs w:val="17"/>
              </w:rPr>
              <w:t>‎0.68%‎</w:t>
            </w:r>
          </w:p>
        </w:tc>
        <w:tc>
          <w:tcPr>
            <w:tcW w:type="dxa" w:w="1663"/>
          </w:tcPr>
          <w:p>
            <w:pPr>
              <w:bidi w:val="1"/>
              <w:spacing w:before="0" w:after="0" w:line="264" w:lineRule="auto"/>
            </w:pPr>
            <w:r>
              <w:rPr>
                <w:rFonts w:ascii="Arial" w:hAnsi="Arial" w:cs="Arial" w:eastAsia="Arial"/>
                <w:color w:val="0E1E3A"/>
                <w:sz w:val="17"/>
                <w:szCs w:val="17"/>
              </w:rPr>
              <w:t>‎-0.40%‎</w:t>
            </w:r>
          </w:p>
        </w:tc>
        <w:tc>
          <w:tcPr>
            <w:tcW w:type="dxa" w:w="1663"/>
          </w:tcPr>
          <w:p>
            <w:pPr>
              <w:bidi w:val="1"/>
              <w:spacing w:before="0" w:after="0" w:line="264" w:lineRule="auto"/>
            </w:pPr>
            <w:r>
              <w:rPr>
                <w:rFonts w:ascii="Arial" w:hAnsi="Arial" w:cs="Arial" w:eastAsia="Arial"/>
                <w:color w:val="0E1E3A"/>
                <w:sz w:val="17"/>
                <w:szCs w:val="17"/>
              </w:rPr>
              <w:t>‎0.13%‎</w:t>
            </w:r>
          </w:p>
        </w:tc>
        <w:tc>
          <w:tcPr>
            <w:tcW w:type="dxa" w:w="1663"/>
          </w:tcPr>
          <w:p>
            <w:pPr>
              <w:bidi w:val="1"/>
              <w:spacing w:before="0" w:after="0" w:line="264" w:lineRule="auto"/>
            </w:pPr>
            <w:r>
              <w:rPr>
                <w:rFonts w:ascii="Arial" w:hAnsi="Arial" w:cs="Arial" w:eastAsia="Arial"/>
                <w:color w:val="0E1E3A"/>
                <w:sz w:val="17"/>
                <w:szCs w:val="17"/>
              </w:rPr>
              <w:t>‎-0.60%‎</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1. عن الفترة من 30 سبتمبر 2024م. إلى 31 ديسمبر 2024</w:t>
      </w:r>
      <w:r>
        <w:br/>
      </w:r>
      <w:r>
        <w:rPr>
          <w:rFonts w:ascii="Arial" w:hAnsi="Arial" w:cs="Arial" w:eastAsia="Arial"/>
          <w:color w:val="5A6478"/>
          <w:sz w:val="17"/>
          <w:szCs w:val="17"/>
          <w:rtl/>
        </w:rPr>
        <w:t>2. عن الفترة من 31 ديسمبر 2023م إلى 31 ديسمبر 2024</w:t>
      </w:r>
      <w:r>
        <w:br/>
      </w:r>
      <w:r>
        <w:rPr>
          <w:rFonts w:ascii="Arial" w:hAnsi="Arial" w:cs="Arial" w:eastAsia="Arial"/>
          <w:color w:val="5A6478"/>
          <w:sz w:val="17"/>
          <w:szCs w:val="17"/>
          <w:rtl/>
        </w:rPr>
        <w:t>3. عن الفترة من من 31 ديسمبر 2023م إلى 31 ديسمبر 2024</w:t>
      </w:r>
      <w:r>
        <w:br/>
      </w:r>
      <w:r>
        <w:rPr>
          <w:rFonts w:ascii="Arial" w:hAnsi="Arial" w:cs="Arial" w:eastAsia="Arial"/>
          <w:color w:val="5A6478"/>
          <w:sz w:val="17"/>
          <w:szCs w:val="17"/>
          <w:rtl/>
        </w:rPr>
        <w:t>4. الانحراف المعياري هو مقياس للمخاطر ويتم حسابه على أنه التذبذب بين العوائد على مدى فترة زمنية. كلما انخفض التقلب، كانت مجموعة العوائد أكثر تجانسا.</w:t>
      </w:r>
      <w:r>
        <w:br/>
      </w:r>
      <w:r>
        <w:rPr>
          <w:rFonts w:ascii="Arial" w:hAnsi="Arial" w:cs="Arial" w:eastAsia="Arial"/>
          <w:color w:val="5A6478"/>
          <w:sz w:val="17"/>
          <w:szCs w:val="17"/>
          <w:rtl/>
        </w:rPr>
        <w:t>5. مؤشر شارب هو مقياس أداء معدل المخاطر ويتم حسابه على أنه الفرق كعائد فائض لمدير الصندوق على المعدل الخالي من المخاطر، مقسوما على الانحراف المعياري. كلما زاد معدل شارب للمحفظة، كلما كان أداؤه حسب المخاطر أفضل.</w:t>
      </w:r>
      <w:r>
        <w:br/>
      </w:r>
      <w:r>
        <w:rPr>
          <w:rFonts w:ascii="Arial" w:hAnsi="Arial" w:cs="Arial" w:eastAsia="Arial"/>
          <w:color w:val="5A6478"/>
          <w:sz w:val="17"/>
          <w:szCs w:val="17"/>
          <w:rtl/>
        </w:rPr>
        <w:t>6. خطأ التتبع هو مقياس للمخاطر ويتم حسابه على أنه الانحراف المعياري بين عائد مدير الصندوق وعائد المؤشر. كلما انخفض خطأ التتبع، كلما انحرف مدير الصندوق عن المؤشر.</w:t>
      </w:r>
      <w:r>
        <w:br/>
      </w:r>
      <w:r>
        <w:rPr>
          <w:rFonts w:ascii="Arial" w:hAnsi="Arial" w:cs="Arial" w:eastAsia="Arial"/>
          <w:color w:val="5A6478"/>
          <w:sz w:val="17"/>
          <w:szCs w:val="17"/>
          <w:rtl/>
        </w:rPr>
        <w:t>7. بيتا هو مقياس لمتوسط الحساسية التاريخية لعوائد الصندوق مقارنة بعوائد السوق، ويتم احتسابها عن طريق حساب تغاير سعر الوحدة ومؤشر السوق على تباين مؤشر السوق.</w:t>
      </w:r>
      <w:r>
        <w:br/>
      </w:r>
      <w:r>
        <w:rPr>
          <w:rFonts w:ascii="Arial" w:hAnsi="Arial" w:cs="Arial" w:eastAsia="Arial"/>
          <w:color w:val="5A6478"/>
          <w:sz w:val="17"/>
          <w:szCs w:val="17"/>
          <w:rtl/>
        </w:rPr>
        <w:t>8. ألفا يقيس أي تفوق حققه أداء الصندوق مقارنة بأداء المؤشر المرتبط به.</w:t>
      </w:r>
      <w:r>
        <w:br/>
      </w:r>
      <w:r>
        <w:rPr>
          <w:rFonts w:ascii="Arial" w:hAnsi="Arial" w:cs="Arial" w:eastAsia="Arial"/>
          <w:color w:val="5A6478"/>
          <w:sz w:val="17"/>
          <w:szCs w:val="17"/>
          <w:rtl/>
        </w:rPr>
        <w:t>9. مؤشر المعلومات هو عبارة عن مقياس أداء معدل المخاطر، ويتم حسابه على أنه العائد النشط لمدير الصندوق مقسوما على خطأ التتبع الخاص به. كلما ارتفع معدل المعلومات، كلما ازدادت قدرة مدير الصندوق على تحقيق عوائد زائدة لكل وحدة من المخاطر الزائدة.</w:t>
      </w:r>
      <w:r>
        <w:br/>
      </w:r>
      <w:r>
        <w:rPr>
          <w:rFonts w:ascii="Arial" w:hAnsi="Arial" w:cs="Arial" w:eastAsia="Arial"/>
          <w:color w:val="5A6478"/>
          <w:sz w:val="17"/>
          <w:szCs w:val="17"/>
          <w:rtl/>
        </w:rPr>
        <w:t>تم احتساب معايير الأداء والمخاطر بناء على اعلى أسعار تداول للوحدة في السوق.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3" name="Picture 9049"/>
            <wp:cNvGraphicFramePr>
              <a:graphicFrameLocks noChangeAspect="1"/>
            </wp:cNvGraphicFramePr>
            <a:graphic>
              <a:graphicData uri="http://schemas.openxmlformats.org/drawingml/2006/picture">
                <pic:pic>
                  <pic:nvPicPr>
                    <pic:cNvPr id="0" name="ico_c788ceab6c6867ef93d8dd6b26beef99.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مستجدات الصندوق وأية تغيرات أساسية أو غير أساسية تؤثر على عمل الصندوق</w:t>
      </w:r>
    </w:p>
    <w:p>
      <w:pPr>
        <w:bidi w:val="1"/>
        <w:spacing w:before="0" w:after="80" w:line="312" w:lineRule="auto"/>
      </w:pPr>
      <w:r>
        <w:rPr>
          <w:rFonts w:ascii="Arial" w:hAnsi="Arial" w:cs="Arial" w:eastAsia="Arial"/>
          <w:color w:val="0E1E3A"/>
          <w:sz w:val="20"/>
          <w:szCs w:val="20"/>
          <w:rtl/>
        </w:rPr>
        <w:t>لا توجد مستجدات أو تغييرات أساسية أو غير أساسية تؤثر على عمل الصندوق.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4" name="Picture 905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نظرة على قطاع الإجارة والتمويل التجاري والصكوك</w:t>
      </w:r>
    </w:p>
    <w:p>
      <w:pPr>
        <w:pStyle w:val="Heading3"/>
        <w:keepNext/>
        <w:bidi w:val="1"/>
        <w:spacing w:before="160" w:after="100" w:line="300" w:lineRule="auto"/>
      </w:pPr>
      <w:r>
        <w:rPr>
          <w:rFonts w:ascii="Arial" w:hAnsi="Arial" w:cs="Arial" w:eastAsia="Arial"/>
          <w:b/>
          <w:bCs/>
          <w:color w:val="12284B"/>
          <w:sz w:val="22"/>
          <w:szCs w:val="22"/>
          <w:rtl/>
        </w:rPr>
        <w:t>نظرة على قطاع الإجارة:</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ُتعد ثقة صناعة تمويل المعدات قد بلغت أعلى مستوى لها منذ ثلاث سنوات في ديسمبر 2024، حيث ارتفع مؤشر الثقة الشهري لمؤسسة تأجير وتمويل المعدات (MCI-EFI) إلى 68.8 مقابل 67.5 في نوفمبر. يعكس هذا المؤشر، الذي يتتبع قطاع تمويل المعدات بقيمة 1.3 تريليون دولار أمريكي، تحسن الظروف التجارية والتوقعات المستقبلية.</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تتوقع رابطة تأجير وتمويل المعدات (ELFA) نموا قويا لقطاع تمويل المعدات مع اقتراب نهاية العام. وتشير رئيسة الرابطة، الي ليتل، إلى أنه بفضل الميزانيات العمومية القوية وظروف السوق المواتية، فإن الصناعة مهيأة للنمو، حتى في حال تباطؤ البنك الاحتياطي الفيدرالي في خفض أسعار الفائدة.</w:t>
      </w:r>
    </w:p>
    <w:p>
      <w:pPr>
        <w:pStyle w:val="Heading3"/>
        <w:keepNext/>
        <w:bidi w:val="1"/>
        <w:spacing w:before="160" w:after="100" w:line="300" w:lineRule="auto"/>
      </w:pPr>
      <w:r>
        <w:rPr>
          <w:rFonts w:ascii="Arial" w:hAnsi="Arial" w:cs="Arial" w:eastAsia="Arial"/>
          <w:b/>
          <w:bCs/>
          <w:color w:val="12284B"/>
          <w:sz w:val="22"/>
          <w:szCs w:val="22"/>
          <w:rtl/>
        </w:rPr>
        <w:t>نظرة على قطاع التمويل التجاري:</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وفقا لتحديث التجارة العالمية الصادر عن مؤتمر الأمم المتحدة للتجارة والتنمية (UNCTAD) في ديسمبر 2024، من المتوقع أن يتجاوز حجم التجارة العالمية الرقم القياسي لعام 2022، ليصل إلى ما يقرب من 33 تريليون دولار أمريكي في 2024. ويعزى هذا الرقم القياسي بشكل أساسي إلى زيادة سنوية بنسبة </w:t>
      </w:r>
      <w:r>
        <w:rPr>
          <w:rFonts w:ascii="Arial" w:hAnsi="Arial" w:cs="Arial" w:eastAsia="Arial"/>
          <w:color w:val="0E1E3A"/>
          <w:sz w:val="20"/>
          <w:szCs w:val="20"/>
        </w:rPr>
        <w:t>‎7%‎</w:t>
      </w:r>
      <w:r>
        <w:rPr>
          <w:rFonts w:ascii="Arial" w:hAnsi="Arial" w:cs="Arial" w:eastAsia="Arial"/>
          <w:color w:val="0E1E3A"/>
          <w:sz w:val="20"/>
          <w:szCs w:val="20"/>
          <w:rtl/>
        </w:rPr>
        <w:t xml:space="preserve"> في تجارة الخدمات، في حين من المتوقع أن ينمو حجم تجارة السلع بحوالي </w:t>
      </w:r>
      <w:r>
        <w:rPr>
          <w:rFonts w:ascii="Arial" w:hAnsi="Arial" w:cs="Arial" w:eastAsia="Arial"/>
          <w:color w:val="0E1E3A"/>
          <w:sz w:val="20"/>
          <w:szCs w:val="20"/>
        </w:rPr>
        <w:t>‎2%‎</w:t>
      </w:r>
      <w:r>
        <w:rPr>
          <w:rFonts w:ascii="Arial" w:hAnsi="Arial" w:cs="Arial" w:eastAsia="Arial"/>
          <w:color w:val="0E1E3A"/>
          <w:sz w:val="20"/>
          <w:szCs w:val="20"/>
          <w:rtl/>
        </w:rPr>
        <w:t>، مما يبقى دون ذروته في عام 2022.</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على الرغم من التحديات الجيوسياسية والاقتصادية المستمرة، فإن تقرير سجل التجارة لعام 2024 الصادر عن غرفة التجارة الدولية (ICC) يؤكد مرونة أدوات تمويل التجارة، حيث تظل معدلات التعثر منخفضة عبر المناطق وفئات الأصول. ويؤكد التقرير أن تمويل التجارة وسلسلة التوريد والصادرات لا يزال يظهر مخاطر منخفضة، مع أن التعثرات ناجمة في الغالب عن عوامل فردية مثل الأحداث التجارية أو الجيوسياسية أو الماكرو اقتصادية. تظل هذه المنتجات المالية أساسية في التخفيف من المخاطر، والحفاظ على السيولة، ودعم استقرار تدفقات التجارة العالمية.</w:t>
      </w:r>
    </w:p>
    <w:p>
      <w:pPr>
        <w:pStyle w:val="Heading3"/>
        <w:keepNext/>
        <w:bidi w:val="1"/>
        <w:spacing w:before="160" w:after="100" w:line="300" w:lineRule="auto"/>
      </w:pPr>
      <w:r>
        <w:rPr>
          <w:rFonts w:ascii="Arial" w:hAnsi="Arial" w:cs="Arial" w:eastAsia="Arial"/>
          <w:b/>
          <w:bCs/>
          <w:color w:val="12284B"/>
          <w:sz w:val="22"/>
          <w:szCs w:val="22"/>
          <w:rtl/>
        </w:rPr>
        <w:t>نظرة على قطاع الصكوك:</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شهدت إصدارات السندات الإسلامية (صكوك) ارتفاعا بعد خفض سعر الفائدة من قبل الاحتياطي الفيدرالي الأمريكي إلى </w:t>
      </w:r>
      <w:r>
        <w:rPr>
          <w:rFonts w:ascii="Arial" w:hAnsi="Arial" w:cs="Arial" w:eastAsia="Arial"/>
          <w:color w:val="0E1E3A"/>
          <w:sz w:val="20"/>
          <w:szCs w:val="20"/>
        </w:rPr>
        <w:t>‎5%‎</w:t>
      </w:r>
      <w:r>
        <w:rPr>
          <w:rFonts w:ascii="Arial" w:hAnsi="Arial" w:cs="Arial" w:eastAsia="Arial"/>
          <w:color w:val="0E1E3A"/>
          <w:sz w:val="20"/>
          <w:szCs w:val="20"/>
          <w:rtl/>
        </w:rPr>
        <w:t xml:space="preserve"> في سبتمبر 2024، مما ساهم في تحسين ظروف التمويل وتعزيز نشاط الإصدارات. لقد خلف خفض أسعار الفائدة من قبل الاحتياطي الفيدرالي الأمريكي في 2024 بيئة مواتية، حيث انخفضت الأسعار طوال العام، مما شجع على المزيد من إصدارات الصكوك حتى عام 2025.</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سجل مؤشر صكوك داو جونز الأمريكي (دون إعادة الاستثمار) زيادة بنسبة </w:t>
      </w:r>
      <w:r>
        <w:rPr>
          <w:rFonts w:ascii="Arial" w:hAnsi="Arial" w:cs="Arial" w:eastAsia="Arial"/>
          <w:color w:val="0E1E3A"/>
          <w:sz w:val="20"/>
          <w:szCs w:val="20"/>
        </w:rPr>
        <w:t>‎3.43%‎</w:t>
      </w:r>
      <w:r>
        <w:rPr>
          <w:rFonts w:ascii="Arial" w:hAnsi="Arial" w:cs="Arial" w:eastAsia="Arial"/>
          <w:color w:val="0E1E3A"/>
          <w:sz w:val="20"/>
          <w:szCs w:val="20"/>
          <w:rtl/>
        </w:rPr>
        <w:t xml:space="preserve"> في 2024، في حين ارتفع مؤشر سندات وصكوك S&amp;P لدول مجلس التعاون الخليجي بنسبة </w:t>
      </w:r>
      <w:r>
        <w:rPr>
          <w:rFonts w:ascii="Arial" w:hAnsi="Arial" w:cs="Arial" w:eastAsia="Arial"/>
          <w:color w:val="0E1E3A"/>
          <w:sz w:val="20"/>
          <w:szCs w:val="20"/>
        </w:rPr>
        <w:t>‎1.27%‎</w:t>
      </w:r>
      <w:r>
        <w:rPr>
          <w:rFonts w:ascii="Arial" w:hAnsi="Arial" w:cs="Arial" w:eastAsia="Arial"/>
          <w:color w:val="0E1E3A"/>
          <w:sz w:val="20"/>
          <w:szCs w:val="20"/>
          <w:rtl/>
        </w:rPr>
        <w:t>.</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في الربع الرابع من 2024، انخفض مؤشر صكوك داو جونز الأمريكي (دون إعادة الاستثمار) بنسبة </w:t>
      </w:r>
      <w:r>
        <w:rPr>
          <w:rFonts w:ascii="Arial" w:hAnsi="Arial" w:cs="Arial" w:eastAsia="Arial"/>
          <w:color w:val="0E1E3A"/>
          <w:sz w:val="20"/>
          <w:szCs w:val="20"/>
        </w:rPr>
        <w:t>‎1.73%‎</w:t>
      </w:r>
      <w:r>
        <w:rPr>
          <w:rFonts w:ascii="Arial" w:hAnsi="Arial" w:cs="Arial" w:eastAsia="Arial"/>
          <w:color w:val="0E1E3A"/>
          <w:sz w:val="20"/>
          <w:szCs w:val="20"/>
          <w:rtl/>
        </w:rPr>
        <w:t xml:space="preserve">، بينما شهد مؤشر سندات وصكوك S&amp;P لدول مجلس التعاون الخليجي انخفاضا بنسبة </w:t>
      </w:r>
      <w:r>
        <w:rPr>
          <w:rFonts w:ascii="Arial" w:hAnsi="Arial" w:cs="Arial" w:eastAsia="Arial"/>
          <w:color w:val="0E1E3A"/>
          <w:sz w:val="20"/>
          <w:szCs w:val="20"/>
        </w:rPr>
        <w:t>‎3.30%‎</w:t>
      </w:r>
      <w:r>
        <w:rPr>
          <w:rFonts w:ascii="Arial" w:hAnsi="Arial" w:cs="Arial" w:eastAsia="Arial"/>
          <w:color w:val="0E1E3A"/>
          <w:sz w:val="20"/>
          <w:szCs w:val="20"/>
          <w:rtl/>
        </w:rPr>
        <w:t>.</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5" name="Picture 905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سعر الوحدة المتداولة في السوق منذ بدء الصندوق</w:t>
      </w:r>
    </w:p>
    <w:p>
      <w:pPr>
        <w:bidi w:val="1"/>
        <w:spacing w:before="0" w:after="80" w:line="240" w:lineRule="auto"/>
        <w:jc w:val="center"/>
      </w:pPr>
      <w:r>
        <w:drawing>
          <wp:inline xmlns:a="http://schemas.openxmlformats.org/drawingml/2006/main" xmlns:pic="http://schemas.openxmlformats.org/drawingml/2006/picture">
            <wp:extent cx="6336000" cy="2816000"/>
            <wp:docPr id="26" name="Picture 9052"/>
            <wp:cNvGraphicFramePr>
              <a:graphicFrameLocks noChangeAspect="1"/>
            </wp:cNvGraphicFramePr>
            <a:graphic>
              <a:graphicData uri="http://schemas.openxmlformats.org/drawingml/2006/picture">
                <pic:pic>
                  <pic:nvPicPr>
                    <pic:cNvPr id="0" name="x6.j.jpg"/>
                    <pic:cNvPicPr/>
                  </pic:nvPicPr>
                  <pic:blipFill>
                    <a:blip r:embed="rId24"/>
                    <a:stretch>
                      <a:fillRect/>
                    </a:stretch>
                  </pic:blipFill>
                  <pic:spPr>
                    <a:xfrm>
                      <a:off x="0" y="0"/>
                      <a:ext cx="6336000" cy="2816000"/>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7" name="Picture 9053"/>
            <wp:cNvGraphicFramePr>
              <a:graphicFrameLocks noChangeAspect="1"/>
            </wp:cNvGraphicFramePr>
            <a:graphic>
              <a:graphicData uri="http://schemas.openxmlformats.org/drawingml/2006/picture">
                <pic:pic>
                  <pic:nvPicPr>
                    <pic:cNvPr id="0" name="ico_8eba3796ad497c7a142d47da7c90fea0.png"/>
                    <pic:cNvPicPr/>
                  </pic:nvPicPr>
                  <pic:blipFill>
                    <a:blip r:embed="rId2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للحصول على المزيد من المعلومات</w:t>
      </w:r>
    </w:p>
    <w:p>
      <w:pPr>
        <w:bidi w:val="1"/>
        <w:spacing w:before="0" w:after="80" w:line="312" w:lineRule="auto"/>
      </w:pPr>
      <w:r>
        <w:rPr>
          <w:rFonts w:ascii="Arial" w:hAnsi="Arial" w:cs="Arial" w:eastAsia="Arial"/>
          <w:color w:val="0E1E3A"/>
          <w:sz w:val="20"/>
          <w:szCs w:val="20"/>
          <w:rtl/>
        </w:rPr>
        <w:t>شركة الخبير المالية</w:t>
      </w:r>
      <w:r>
        <w:br/>
      </w:r>
      <w:r>
        <w:rPr>
          <w:rFonts w:ascii="Arial" w:hAnsi="Arial" w:cs="Arial" w:eastAsia="Arial"/>
          <w:color w:val="0E1E3A"/>
          <w:sz w:val="20"/>
          <w:szCs w:val="20"/>
          <w:rtl/>
        </w:rPr>
        <w:t>ص.ب 128289 جدة 21362</w:t>
      </w:r>
      <w:r>
        <w:br/>
      </w:r>
      <w:r>
        <w:rPr>
          <w:rFonts w:ascii="Arial" w:hAnsi="Arial" w:cs="Arial" w:eastAsia="Arial"/>
          <w:color w:val="0E1E3A"/>
          <w:sz w:val="20"/>
          <w:szCs w:val="20"/>
          <w:rtl/>
        </w:rPr>
        <w:t>المملكة العربية السعودية</w:t>
      </w:r>
      <w:r>
        <w:br/>
      </w:r>
      <w:r>
        <w:rPr>
          <w:rFonts w:ascii="Arial" w:hAnsi="Arial" w:cs="Arial" w:eastAsia="Arial"/>
          <w:color w:val="0E1E3A"/>
          <w:sz w:val="20"/>
          <w:szCs w:val="20"/>
          <w:rtl/>
        </w:rPr>
        <w:t xml:space="preserve">هاتف: </w:t>
      </w:r>
      <w:r>
        <w:rPr>
          <w:rFonts w:ascii="Arial" w:hAnsi="Arial" w:cs="Arial" w:eastAsia="Arial"/>
          <w:color w:val="0E1E3A"/>
          <w:sz w:val="20"/>
          <w:szCs w:val="20"/>
        </w:rPr>
        <w:t>‎+966 12 658 8888‎</w:t>
      </w:r>
      <w:r>
        <w:br/>
      </w:r>
      <w:r>
        <w:rPr>
          <w:rFonts w:ascii="Arial" w:hAnsi="Arial" w:cs="Arial" w:eastAsia="Arial"/>
          <w:color w:val="0E1E3A"/>
          <w:sz w:val="20"/>
          <w:szCs w:val="20"/>
          <w:rtl/>
        </w:rPr>
        <w:t xml:space="preserve">فاكس: </w:t>
      </w:r>
      <w:r>
        <w:rPr>
          <w:rFonts w:ascii="Arial" w:hAnsi="Arial" w:cs="Arial" w:eastAsia="Arial"/>
          <w:color w:val="0E1E3A"/>
          <w:sz w:val="20"/>
          <w:szCs w:val="20"/>
        </w:rPr>
        <w:t>‎+966 12 658 6663‎</w:t>
      </w:r>
      <w:r>
        <w:br/>
      </w:r>
      <w:r>
        <w:rPr>
          <w:rFonts w:ascii="Arial" w:hAnsi="Arial" w:cs="Arial" w:eastAsia="Arial"/>
          <w:color w:val="0E1E3A"/>
          <w:sz w:val="20"/>
          <w:szCs w:val="20"/>
          <w:rtl/>
        </w:rPr>
        <w:t>البريد الإلكتروني: info@alkhabeer.com</w:t>
      </w:r>
      <w:r>
        <w:br/>
      </w:r>
      <w:r>
        <w:rPr>
          <w:rFonts w:ascii="Arial" w:hAnsi="Arial" w:cs="Arial" w:eastAsia="Arial"/>
          <w:color w:val="0E1E3A"/>
          <w:sz w:val="20"/>
          <w:szCs w:val="20"/>
          <w:rtl/>
        </w:rPr>
        <w:t>رقم السجل التجاري: 4030177445</w:t>
      </w:r>
      <w:r>
        <w:br/>
      </w:r>
      <w:r>
        <w:rPr>
          <w:rFonts w:ascii="Arial" w:hAnsi="Arial" w:cs="Arial" w:eastAsia="Arial"/>
          <w:color w:val="0E1E3A"/>
          <w:sz w:val="20"/>
          <w:szCs w:val="20"/>
          <w:rtl/>
        </w:rPr>
        <w:t xml:space="preserve">الرخصة الصادرة من هيئة السوق المالية: </w:t>
      </w:r>
      <w:r>
        <w:rPr>
          <w:rFonts w:ascii="Arial" w:hAnsi="Arial" w:cs="Arial" w:eastAsia="Arial"/>
          <w:color w:val="0E1E3A"/>
          <w:sz w:val="20"/>
          <w:szCs w:val="20"/>
        </w:rPr>
        <w:t>‎07074-37‎</w:t>
      </w:r>
      <w:r>
        <w:br/>
      </w:r>
      <w:r>
        <w:rPr>
          <w:rFonts w:ascii="Arial" w:hAnsi="Arial" w:cs="Arial" w:eastAsia="Arial"/>
          <w:color w:val="0E1E3A"/>
          <w:sz w:val="20"/>
          <w:szCs w:val="20"/>
          <w:rtl/>
        </w:rPr>
        <w:t>www.alkhabeer.com</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8" name="Picture 9054"/>
            <wp:cNvGraphicFramePr>
              <a:graphicFrameLocks noChangeAspect="1"/>
            </wp:cNvGraphicFramePr>
            <a:graphic>
              <a:graphicData uri="http://schemas.openxmlformats.org/drawingml/2006/picture">
                <pic:pic>
                  <pic:nvPicPr>
                    <pic:cNvPr id="0" name="ico_31799530e5dd3dc5b4ca7f2d37945432.png"/>
                    <pic:cNvPicPr/>
                  </pic:nvPicPr>
                  <pic:blipFill>
                    <a:blip r:embed="rId26"/>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إشعار مهم</w:t>
      </w:r>
    </w:p>
    <w:p>
      <w:pPr>
        <w:bidi w:val="1"/>
        <w:spacing w:before="0" w:after="80" w:line="312" w:lineRule="auto"/>
      </w:pPr>
      <w:r>
        <w:rPr>
          <w:rFonts w:ascii="Arial" w:hAnsi="Arial" w:cs="Arial" w:eastAsia="Arial"/>
          <w:color w:val="5A6478"/>
          <w:sz w:val="17"/>
          <w:szCs w:val="17"/>
          <w:rtl/>
        </w:rPr>
        <w:t>لا تمثل هذه الوثيقة عرضا للشراء، أو الاكتتاب، أو المشاركة بأي شكل في صندوق "الخبير للدخل المتنوع المتداول"، ولا تشكل الوثيقة (أو أي جزء منها) أساسا، ولا ينبغي الاعتماد عليها للقيام بما تقدم أو محفزا لإبرام أي تعاقد مهما كان نوعه. يجب على المستثمرين المحتملين قراءة شروط وأحكام صندوق "الخبير للدخل" وما ورد فيها بشأن مخاطر الاستثمار ووثائقه الأخرى بعناية ودقة قبل اتخاذ القرار وذلك من خلال الموقع الإلكتروني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يعد استثمار المستثمر في الصندوق إقرارا منه باطلاعه على شروط وأحكام الصندوق وقبوله بها. تنتفي المسؤولية عن مدير الصندوق أو أي من تابعيه في حال وقوع أي خسارة مالية للصندوق ما لم يكن ذلك ناتجا عن أسباب متعمدة من قبل مدير الصندوق. الاستثمار في الصندوق خاضع للرسوم كما هو مذكور في الشروط والأحكام.</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bidi w:val="1"/>
      <w:spacing w:before="0" w:after="0" w:line="240" w:lineRule="auto"/>
    </w:pPr>
    <w:r/>
    <w:r>
      <w:rPr>
        <w:rFonts w:ascii="Arial" w:hAnsi="Arial" w:cs="Arial" w:eastAsia="Arial"/>
        <w:color w:val="5A6478"/>
        <w:sz w:val="15"/>
        <w:szCs w:val="15"/>
        <w:rtl/>
      </w:rPr>
      <w:t>البيان الربع سنوي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ar-SA"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Arial" w:hAnsi="Arial" w:cs="Arial" w:eastAsia="Arial"/>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val="1"/>
      <w:spacing w:before="0" w:after="100"/>
      <w:outlineLvl w:val="0"/>
    </w:pPr>
    <w:rPr>
      <w:rFonts w:ascii="Arial" w:hAnsi="Arial" w:cs="Arial" w:eastAsia="Arial"/>
      <w:b/>
      <w:bCs/>
      <w:color w:val="12284B"/>
      <w:sz w:val="36"/>
      <w:szCs w:val="28"/>
      <w:rtl/>
    </w:rPr>
  </w:style>
  <w:style w:type="paragraph" w:styleId="Heading2">
    <w:name w:val="heading 2"/>
    <w:basedOn w:val="Normal"/>
    <w:next w:val="Normal"/>
    <w:link w:val="Heading2Char"/>
    <w:uiPriority w:val="9"/>
    <w:unhideWhenUsed/>
    <w:qFormat/>
    <w:rsid w:val="00FC693F"/>
    <w:pPr>
      <w:keepNext/>
      <w:keepLines/>
      <w:bidi w:val="1"/>
      <w:spacing w:before="200" w:after="100"/>
      <w:outlineLvl w:val="1"/>
    </w:pPr>
    <w:rPr>
      <w:rFonts w:ascii="Arial" w:hAnsi="Arial" w:cs="Arial" w:eastAsia="Arial"/>
      <w:b/>
      <w:bCs/>
      <w:color w:val="12284B"/>
      <w:sz w:val="26"/>
      <w:szCs w:val="26"/>
      <w:rtl/>
    </w:rPr>
  </w:style>
  <w:style w:type="paragraph" w:styleId="Heading3">
    <w:name w:val="heading 3"/>
    <w:basedOn w:val="Normal"/>
    <w:next w:val="Normal"/>
    <w:link w:val="Heading3Char"/>
    <w:uiPriority w:val="9"/>
    <w:unhideWhenUsed/>
    <w:qFormat/>
    <w:rsid w:val="00FC693F"/>
    <w:pPr>
      <w:keepNext/>
      <w:keepLines/>
      <w:bidi w:val="1"/>
      <w:spacing w:before="200" w:after="100"/>
      <w:outlineLvl w:val="2"/>
    </w:pPr>
    <w:rPr>
      <w:rFonts w:ascii="Arial" w:hAnsi="Arial" w:cs="Arial" w:eastAsia="Arial"/>
      <w:b/>
      <w:bCs/>
      <w:color w:val="12284B"/>
      <w:sz w:val="22"/>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val="1"/>
      <w:spacing w:after="300" w:line="240" w:lineRule="auto"/>
      <w:contextualSpacing/>
    </w:pPr>
    <w:rPr>
      <w:rFonts w:ascii="Arial" w:hAnsi="Arial" w:cs="Arial" w:eastAsia="Arial"/>
      <w:color w:val="17365D" w:themeColor="text2" w:themeShade="BF"/>
      <w:spacing w:val="5"/>
      <w:kern w:val="28"/>
      <w:sz w:val="52"/>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val="1"/>
      <w:ind w:left="720"/>
      <w:contextualSpacing/>
    </w:pPr>
    <w:rPr>
      <w:rFonts w:ascii="Arial" w:hAnsi="Arial" w:cs="Arial" w:eastAsia="Arial"/>
      <w:rt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jpg"/><Relationship Id="rId25" Type="http://schemas.openxmlformats.org/officeDocument/2006/relationships/image" Target="media/image13.png"/><Relationship Id="rId26"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صندوق الخبير للدخل المتنوع المتداول — البيان الربع سنوي الربع الرابع 2024م</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ar-SA</dc:language>
</cp:coreProperties>
</file>