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7"/>
            <wp:cNvGraphicFramePr/>
            <a:graphic>
              <a:graphicData uri="http://schemas.openxmlformats.org/drawingml/2006/picture">
                <pic:pic>
                  <pic:nvPicPr>
                    <pic:cNvPr id="9027" name="banner9027.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8"/>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9.6100</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486,031,385</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27,111,176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5.58%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5.97%</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0.35%</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2024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31"/>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average term of Fund investments is 2.8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486,031,385</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454,373,288</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 **</w:t>
            </w:r>
          </w:p>
        </w:tc>
        <w:tc>
          <w:tcPr>
            <w:tcW w:type="dxa" w:w="6860"/>
          </w:tcPr>
          <w:p>
            <w:pPr>
              <w:spacing w:before="0" w:after="0" w:line="276" w:lineRule="auto"/>
            </w:pPr>
            <w:r>
              <w:rPr>
                <w:rFonts w:ascii="Arial" w:hAnsi="Arial" w:cs="Arial" w:eastAsia="Arial"/>
                <w:b/>
                <w:bCs/>
                <w:color w:val="0E1E3A"/>
                <w:sz w:val="18"/>
                <w:szCs w:val="18"/>
              </w:rPr>
              <w:t>0.59%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0.68%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AVERAGE NET ASSET VALUE****</w:t>
            </w:r>
          </w:p>
        </w:tc>
        <w:tc>
          <w:tcPr>
            <w:tcW w:type="dxa" w:w="6860"/>
          </w:tcPr>
          <w:p>
            <w:pPr>
              <w:spacing w:before="0" w:after="0" w:line="276" w:lineRule="auto"/>
            </w:pPr>
            <w:r>
              <w:rPr>
                <w:rFonts w:ascii="Arial" w:hAnsi="Arial" w:cs="Arial" w:eastAsia="Arial"/>
                <w:b/>
                <w:bCs/>
                <w:color w:val="0E1E3A"/>
                <w:sz w:val="18"/>
                <w:szCs w:val="18"/>
              </w:rPr>
              <w:t>0.73%</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3,318,075</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2024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454,647,315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4"/>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LARGEST TEN INVESTMENTS IN THE FUND</w:t>
      </w:r>
    </w:p>
    <w:p>
      <w:pPr>
        <w:spacing w:before="0" w:after="80" w:line="240" w:lineRule="auto"/>
        <w:jc w:val="center"/>
      </w:pPr>
      <w:r>
        <w:drawing>
          <wp:inline xmlns:a="http://schemas.openxmlformats.org/drawingml/2006/main" xmlns:pic="http://schemas.openxmlformats.org/drawingml/2006/picture">
            <wp:extent cx="6336000" cy="2540108"/>
            <wp:docPr id="10" name="Picture 9036"/>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540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148,749,702</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180,231,365</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31,245,544</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114,768,547</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11,036,227</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3" name="Picture 9039"/>
            <wp:cNvGraphicFramePr>
              <a:graphicFrameLocks noChangeAspect="1"/>
            </wp:cNvGraphicFramePr>
            <a:graphic>
              <a:graphicData uri="http://schemas.openxmlformats.org/drawingml/2006/picture">
                <pic:pic>
                  <pic:nvPicPr>
                    <pic:cNvPr id="0" name="x5.j.jpg"/>
                    <pic:cNvPicPr/>
                  </pic:nvPicPr>
                  <pic:blipFill>
                    <a:blip r:embed="rId20"/>
                    <a:stretch>
                      <a:fillRect/>
                    </a:stretch>
                  </pic:blipFill>
                  <pic:spPr>
                    <a:xfrm>
                      <a:off x="0" y="0"/>
                      <a:ext cx="6336000" cy="296821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2023</w:t>
            </w:r>
          </w:p>
        </w:tc>
        <w:tc>
          <w:tcPr>
            <w:tcW w:type="dxa" w:w="6860"/>
          </w:tcPr>
          <w:p>
            <w:pPr>
              <w:spacing w:before="0" w:after="0" w:line="276" w:lineRule="auto"/>
            </w:pPr>
            <w:r>
              <w:rPr>
                <w:rFonts w:ascii="Arial" w:hAnsi="Arial" w:cs="Arial" w:eastAsia="Arial"/>
                <w:b/>
                <w:bCs/>
                <w:color w:val="0E1E3A"/>
                <w:sz w:val="18"/>
                <w:szCs w:val="18"/>
              </w:rPr>
              <w:t>SAR 297,873,261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2023</w:t>
            </w:r>
          </w:p>
        </w:tc>
        <w:tc>
          <w:tcPr>
            <w:tcW w:type="dxa" w:w="6860"/>
          </w:tcPr>
          <w:p>
            <w:pPr>
              <w:spacing w:before="0" w:after="0" w:line="276" w:lineRule="auto"/>
            </w:pPr>
            <w:r>
              <w:rPr>
                <w:rFonts w:ascii="Arial" w:hAnsi="Arial" w:cs="Arial" w:eastAsia="Arial"/>
                <w:b/>
                <w:bCs/>
                <w:color w:val="0E1E3A"/>
                <w:sz w:val="18"/>
                <w:szCs w:val="18"/>
              </w:rPr>
              <w:t>SAR 329,079,031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2023</w:t>
            </w:r>
          </w:p>
        </w:tc>
        <w:tc>
          <w:tcPr>
            <w:tcW w:type="dxa" w:w="6860"/>
          </w:tcPr>
          <w:p>
            <w:pPr>
              <w:spacing w:before="0" w:after="0" w:line="276" w:lineRule="auto"/>
            </w:pPr>
            <w:r>
              <w:rPr>
                <w:rFonts w:ascii="Arial" w:hAnsi="Arial" w:cs="Arial" w:eastAsia="Arial"/>
                <w:b/>
                <w:bCs/>
                <w:color w:val="0E1E3A"/>
                <w:sz w:val="18"/>
                <w:szCs w:val="18"/>
              </w:rPr>
              <w:t>SAR 329,551,846</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335,698,437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320,568,367</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2024</w:t>
            </w:r>
          </w:p>
        </w:tc>
        <w:tc>
          <w:tcPr>
            <w:tcW w:type="dxa" w:w="6860"/>
          </w:tcPr>
          <w:p>
            <w:pPr>
              <w:spacing w:before="0" w:after="0" w:line="276" w:lineRule="auto"/>
            </w:pPr>
            <w:r>
              <w:rPr>
                <w:rFonts w:ascii="Arial" w:hAnsi="Arial" w:cs="Arial" w:eastAsia="Arial"/>
                <w:b/>
                <w:bCs/>
                <w:color w:val="0E1E3A"/>
                <w:sz w:val="18"/>
                <w:szCs w:val="18"/>
              </w:rPr>
              <w:t>SAR 326,714,958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296,927,632</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2024</w:t>
            </w:r>
          </w:p>
        </w:tc>
        <w:tc>
          <w:tcPr>
            <w:tcW w:type="dxa" w:w="6860"/>
          </w:tcPr>
          <w:p>
            <w:pPr>
              <w:spacing w:before="0" w:after="0" w:line="276" w:lineRule="auto"/>
            </w:pPr>
            <w:r>
              <w:rPr>
                <w:rFonts w:ascii="Arial" w:hAnsi="Arial" w:cs="Arial" w:eastAsia="Arial"/>
                <w:b/>
                <w:bCs/>
                <w:color w:val="0E1E3A"/>
                <w:sz w:val="18"/>
                <w:szCs w:val="18"/>
              </w:rPr>
              <w:t>SAR 305,438,296</w:t>
            </w:r>
          </w:p>
        </w:tc>
      </w:tr>
    </w:tbl>
    <w:p>
      <w:pPr>
        <w:spacing w:before="0" w:after="40" w:line="300" w:lineRule="auto"/>
      </w:pP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DECEMBER 2024)</w:t>
            </w:r>
          </w:p>
        </w:tc>
        <w:tc>
          <w:tcPr>
            <w:tcW w:type="dxa" w:w="6860"/>
          </w:tcPr>
          <w:p>
            <w:pPr>
              <w:spacing w:before="0" w:after="0" w:line="276" w:lineRule="auto"/>
            </w:pPr>
            <w:r>
              <w:rPr>
                <w:rFonts w:ascii="Arial" w:hAnsi="Arial" w:cs="Arial" w:eastAsia="Arial"/>
                <w:b/>
                <w:bCs/>
                <w:color w:val="0E1E3A"/>
                <w:sz w:val="18"/>
                <w:szCs w:val="18"/>
              </w:rPr>
              <w:t>SAR 6.46</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30 SEPTEMBER 2024 TO 31 DECEMBER 2024)</w:t>
            </w:r>
          </w:p>
        </w:tc>
        <w:tc>
          <w:tcPr>
            <w:tcW w:type="dxa" w:w="6860"/>
          </w:tcPr>
          <w:p>
            <w:pPr>
              <w:spacing w:before="0" w:after="0" w:line="276" w:lineRule="auto"/>
            </w:pPr>
            <w:r>
              <w:rPr>
                <w:rFonts w:ascii="Arial" w:hAnsi="Arial" w:cs="Arial" w:eastAsia="Arial"/>
                <w:b/>
                <w:bCs/>
                <w:color w:val="0E1E3A"/>
                <w:sz w:val="18"/>
                <w:szCs w:val="18"/>
              </w:rPr>
              <w:t>2.87%</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Q4 2024)</w:t>
            </w:r>
          </w:p>
        </w:tc>
        <w:tc>
          <w:tcPr>
            <w:tcW w:type="dxa" w:w="6860"/>
          </w:tcPr>
          <w:p>
            <w:pPr>
              <w:spacing w:before="0" w:after="0" w:line="276" w:lineRule="auto"/>
            </w:pPr>
            <w:r>
              <w:rPr>
                <w:rFonts w:ascii="Arial" w:hAnsi="Arial" w:cs="Arial" w:eastAsia="Arial"/>
                <w:b/>
                <w:bCs/>
                <w:color w:val="0E1E3A"/>
                <w:sz w:val="18"/>
                <w:szCs w:val="18"/>
              </w:rPr>
              <w:t>-35.40%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7.23</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6.20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2"/>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PAID IN THE REPORTING QUARTER*</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13,238,812</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2,770,021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(31 DECEMBER 2024)</w:t>
            </w:r>
          </w:p>
        </w:tc>
        <w:tc>
          <w:tcPr>
            <w:tcW w:type="dxa" w:w="6860"/>
          </w:tcPr>
          <w:p>
            <w:pPr>
              <w:spacing w:before="0" w:after="0" w:line="276" w:lineRule="auto"/>
            </w:pPr>
            <w:r>
              <w:rPr>
                <w:rFonts w:ascii="Arial" w:hAnsi="Arial" w:cs="Arial" w:eastAsia="Arial"/>
                <w:b/>
                <w:bCs/>
                <w:color w:val="0E1E3A"/>
                <w:sz w:val="18"/>
                <w:szCs w:val="18"/>
              </w:rPr>
              <w:t>0.91%</w:t>
            </w:r>
          </w:p>
        </w:tc>
      </w:tr>
    </w:tbl>
    <w:p>
      <w:pPr>
        <w:spacing w:before="0" w:after="40" w:line="300" w:lineRule="auto"/>
      </w:pPr>
    </w:p>
    <w:p>
      <w:pPr>
        <w:spacing w:before="0" w:after="80" w:line="312" w:lineRule="auto"/>
      </w:pPr>
      <w:r>
        <w:rPr>
          <w:rFonts w:ascii="Arial" w:hAnsi="Arial" w:cs="Arial" w:eastAsia="Arial"/>
          <w:color w:val="5A6478"/>
          <w:sz w:val="17"/>
          <w:szCs w:val="17"/>
        </w:rPr>
        <w:t>* From 1 October 2024 to 31 December 2024.</w:t>
      </w:r>
      <w:r>
        <w:br/>
      </w:r>
      <w:r>
        <w:rPr>
          <w:rFonts w:ascii="Arial" w:hAnsi="Arial" w:cs="Arial" w:eastAsia="Arial"/>
          <w:color w:val="5A6478"/>
          <w:sz w:val="17"/>
          <w:szCs w:val="17"/>
        </w:rPr>
        <w:t>** From 1 April 2024 to 30 September 2024 (Distributed Dividends paid on 20 August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3"/>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2.87%</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-35.40%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-17.20%</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w:t>
      </w:r>
      <w:r>
        <w:br/>
      </w:r>
      <w:r>
        <w:rPr>
          <w:rFonts w:ascii="Arial" w:hAnsi="Arial" w:cs="Arial" w:eastAsia="Arial"/>
          <w:color w:val="5A6478"/>
          <w:sz w:val="17"/>
          <w:szCs w:val="17"/>
        </w:rPr>
        <w:t>SOFR) 12 months + 300 basis points.</w:t>
      </w:r>
      <w:r>
        <w:br/>
      </w:r>
      <w:r>
        <w:rPr>
          <w:rFonts w:ascii="Arial" w:hAnsi="Arial" w:cs="Arial" w:eastAsia="Arial"/>
          <w:color w:val="5A6478"/>
          <w:sz w:val="17"/>
          <w:szCs w:val="17"/>
        </w:rPr>
        <w:t>** Unit Price as at 30 September 2024 = SAR 6.28.</w:t>
      </w:r>
      <w:r>
        <w:br/>
      </w:r>
      <w:r>
        <w:rPr>
          <w:rFonts w:ascii="Arial" w:hAnsi="Arial" w:cs="Arial" w:eastAsia="Arial"/>
          <w:color w:val="5A6478"/>
          <w:sz w:val="17"/>
          <w:szCs w:val="17"/>
        </w:rPr>
        <w:t>*** From the Fund’s Date of Inception to end Q4 2024.</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Note: 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 months Term SOFR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5"/>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TERM SOFR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9.6216</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9.6100</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-0.12%</w:t>
            </w:r>
          </w:p>
        </w:tc>
        <w:tc>
          <w:tcPr>
            <w:tcW w:type="dxa" w:w="3326"/>
          </w:tcPr>
          <w:p>
            <w:pPr>
              <w:spacing w:before="0" w:after="0" w:line="264" w:lineRule="auto"/>
            </w:pPr>
            <w:r>
              <w:rPr>
                <w:rFonts w:ascii="Arial" w:hAnsi="Arial" w:cs="Arial" w:eastAsia="Arial"/>
                <w:color w:val="0E1E3A"/>
                <w:sz w:val="17"/>
                <w:szCs w:val="17"/>
              </w:rPr>
              <w:t>1.75%***</w:t>
            </w:r>
          </w:p>
        </w:tc>
      </w:tr>
    </w:tbl>
    <w:p>
      <w:pPr>
        <w:spacing w:before="0" w:after="40" w:line="300" w:lineRule="auto"/>
      </w:pPr>
    </w:p>
    <w:p>
      <w:pPr>
        <w:spacing w:before="0" w:after="80" w:line="312" w:lineRule="auto"/>
      </w:pPr>
      <w:r>
        <w:rPr>
          <w:rFonts w:ascii="Arial" w:hAnsi="Arial" w:cs="Arial" w:eastAsia="Arial"/>
          <w:color w:val="5A6478"/>
          <w:sz w:val="17"/>
          <w:szCs w:val="17"/>
        </w:rPr>
        <w:t>* As at 30 September 2024.</w:t>
      </w:r>
      <w:r>
        <w:br/>
      </w:r>
      <w:r>
        <w:rPr>
          <w:rFonts w:ascii="Arial" w:hAnsi="Arial" w:cs="Arial" w:eastAsia="Arial"/>
          <w:color w:val="5A6478"/>
          <w:sz w:val="17"/>
          <w:szCs w:val="17"/>
        </w:rPr>
        <w:t>** As at 31 December 2024.</w:t>
      </w:r>
      <w:r>
        <w:br/>
      </w:r>
      <w:r>
        <w:rPr>
          <w:rFonts w:ascii="Arial" w:hAnsi="Arial" w:cs="Arial" w:eastAsia="Arial"/>
          <w:color w:val="5A6478"/>
          <w:sz w:val="17"/>
          <w:szCs w:val="17"/>
        </w:rPr>
        <w:t>*** Benchmark average return is 7.66% per annum, or a return of 1.75%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-0.12%</w:t>
            </w:r>
          </w:p>
        </w:tc>
        <w:tc>
          <w:tcPr>
            <w:tcW w:type="dxa" w:w="1663"/>
          </w:tcPr>
          <w:p>
            <w:pPr>
              <w:spacing w:before="0" w:after="0" w:line="264" w:lineRule="auto"/>
            </w:pPr>
            <w:r>
              <w:rPr>
                <w:rFonts w:ascii="Arial" w:hAnsi="Arial" w:cs="Arial" w:eastAsia="Arial"/>
                <w:color w:val="0E1E3A"/>
                <w:sz w:val="17"/>
                <w:szCs w:val="17"/>
              </w:rPr>
              <w:t>2.66%</w:t>
            </w:r>
          </w:p>
        </w:tc>
        <w:tc>
          <w:tcPr>
            <w:tcW w:type="dxa" w:w="1663"/>
          </w:tcPr>
          <w:p>
            <w:pPr>
              <w:spacing w:before="0" w:after="0" w:line="264" w:lineRule="auto"/>
            </w:pPr>
            <w:r>
              <w:rPr>
                <w:rFonts w:ascii="Arial" w:hAnsi="Arial" w:cs="Arial" w:eastAsia="Arial"/>
                <w:color w:val="0E1E3A"/>
                <w:sz w:val="17"/>
                <w:szCs w:val="17"/>
              </w:rPr>
              <w:t>2.66%</w:t>
            </w:r>
          </w:p>
        </w:tc>
        <w:tc>
          <w:tcPr>
            <w:tcW w:type="dxa" w:w="1663"/>
          </w:tcPr>
          <w:p>
            <w:pPr>
              <w:spacing w:before="0" w:after="0" w:line="264" w:lineRule="auto"/>
            </w:pPr>
            <w:r>
              <w:rPr>
                <w:rFonts w:ascii="Arial" w:hAnsi="Arial" w:cs="Arial" w:eastAsia="Arial"/>
                <w:color w:val="0E1E3A"/>
                <w:sz w:val="17"/>
                <w:szCs w:val="17"/>
              </w:rPr>
              <w:t>13.78%</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1.75%</w:t>
            </w:r>
          </w:p>
        </w:tc>
        <w:tc>
          <w:tcPr>
            <w:tcW w:type="dxa" w:w="1663"/>
          </w:tcPr>
          <w:p>
            <w:pPr>
              <w:spacing w:before="0" w:after="0" w:line="264" w:lineRule="auto"/>
            </w:pPr>
            <w:r>
              <w:rPr>
                <w:rFonts w:ascii="Arial" w:hAnsi="Arial" w:cs="Arial" w:eastAsia="Arial"/>
                <w:color w:val="0E1E3A"/>
                <w:sz w:val="17"/>
                <w:szCs w:val="17"/>
              </w:rPr>
              <w:t>7.66%</w:t>
            </w:r>
          </w:p>
        </w:tc>
        <w:tc>
          <w:tcPr>
            <w:tcW w:type="dxa" w:w="1663"/>
          </w:tcPr>
          <w:p>
            <w:pPr>
              <w:spacing w:before="0" w:after="0" w:line="264" w:lineRule="auto"/>
            </w:pPr>
            <w:r>
              <w:rPr>
                <w:rFonts w:ascii="Arial" w:hAnsi="Arial" w:cs="Arial" w:eastAsia="Arial"/>
                <w:color w:val="0E1E3A"/>
                <w:sz w:val="17"/>
                <w:szCs w:val="17"/>
              </w:rPr>
              <w:t>7.66%</w:t>
            </w:r>
          </w:p>
        </w:tc>
        <w:tc>
          <w:tcPr>
            <w:tcW w:type="dxa" w:w="1663"/>
          </w:tcPr>
          <w:p>
            <w:pPr>
              <w:spacing w:before="0" w:after="0" w:line="264" w:lineRule="auto"/>
            </w:pPr>
            <w:r>
              <w:rPr>
                <w:rFonts w:ascii="Arial" w:hAnsi="Arial" w:cs="Arial" w:eastAsia="Arial"/>
                <w:color w:val="0E1E3A"/>
                <w:sz w:val="17"/>
                <w:szCs w:val="17"/>
              </w:rPr>
              <w:t>28.04%</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-1.87%</w:t>
            </w:r>
          </w:p>
        </w:tc>
        <w:tc>
          <w:tcPr>
            <w:tcW w:type="dxa" w:w="1663"/>
          </w:tcPr>
          <w:p>
            <w:pPr>
              <w:spacing w:before="0" w:after="0" w:line="264" w:lineRule="auto"/>
            </w:pPr>
            <w:r>
              <w:rPr>
                <w:rFonts w:ascii="Arial" w:hAnsi="Arial" w:cs="Arial" w:eastAsia="Arial"/>
                <w:color w:val="0E1E3A"/>
                <w:sz w:val="17"/>
                <w:szCs w:val="17"/>
              </w:rPr>
              <w:t>-5.00%</w:t>
            </w:r>
          </w:p>
        </w:tc>
        <w:tc>
          <w:tcPr>
            <w:tcW w:type="dxa" w:w="1663"/>
          </w:tcPr>
          <w:p>
            <w:pPr>
              <w:spacing w:before="0" w:after="0" w:line="264" w:lineRule="auto"/>
            </w:pPr>
            <w:r>
              <w:rPr>
                <w:rFonts w:ascii="Arial" w:hAnsi="Arial" w:cs="Arial" w:eastAsia="Arial"/>
                <w:color w:val="0E1E3A"/>
                <w:sz w:val="17"/>
                <w:szCs w:val="17"/>
              </w:rPr>
              <w:t>-5.00%</w:t>
            </w:r>
          </w:p>
        </w:tc>
        <w:tc>
          <w:tcPr>
            <w:tcW w:type="dxa" w:w="1663"/>
          </w:tcPr>
          <w:p>
            <w:pPr>
              <w:spacing w:before="0" w:after="0" w:line="264" w:lineRule="auto"/>
            </w:pPr>
            <w:r>
              <w:rPr>
                <w:rFonts w:ascii="Arial" w:hAnsi="Arial" w:cs="Arial" w:eastAsia="Arial"/>
                <w:color w:val="0E1E3A"/>
                <w:sz w:val="17"/>
                <w:szCs w:val="17"/>
              </w:rPr>
              <w:t>-14.26%</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30 September 2024 to 31 December 2024.</w:t>
      </w:r>
      <w:r>
        <w:br/>
      </w:r>
      <w:r>
        <w:rPr>
          <w:rFonts w:ascii="Arial" w:hAnsi="Arial" w:cs="Arial" w:eastAsia="Arial"/>
          <w:color w:val="5A6478"/>
          <w:sz w:val="17"/>
          <w:szCs w:val="17"/>
        </w:rPr>
        <w:t>** For the period from 31 December 2023 to 31 December 2024, including cash distributions of 5.70%.</w:t>
      </w:r>
      <w:r>
        <w:br/>
      </w:r>
      <w:r>
        <w:rPr>
          <w:rFonts w:ascii="Arial" w:hAnsi="Arial" w:cs="Arial" w:eastAsia="Arial"/>
          <w:color w:val="5A6478"/>
          <w:sz w:val="17"/>
          <w:szCs w:val="17"/>
        </w:rPr>
        <w:t>*** For the period from 31 December 2023 to 31 December 2024, including cash distributions of 5.70%.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YEAR3</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DEVIATION4</w:t>
            </w:r>
          </w:p>
        </w:tc>
        <w:tc>
          <w:tcPr>
            <w:tcW w:type="dxa" w:w="1663"/>
          </w:tcPr>
          <w:p>
            <w:pPr>
              <w:spacing w:before="0" w:after="0" w:line="264" w:lineRule="auto"/>
            </w:pPr>
            <w:r>
              <w:rPr>
                <w:rFonts w:ascii="Arial" w:hAnsi="Arial" w:cs="Arial" w:eastAsia="Arial"/>
                <w:color w:val="0E1E3A"/>
                <w:sz w:val="17"/>
                <w:szCs w:val="17"/>
              </w:rPr>
              <w:t>6.71</w:t>
            </w:r>
          </w:p>
        </w:tc>
        <w:tc>
          <w:tcPr>
            <w:tcW w:type="dxa" w:w="1663"/>
          </w:tcPr>
          <w:p>
            <w:pPr>
              <w:spacing w:before="0" w:after="0" w:line="264" w:lineRule="auto"/>
            </w:pPr>
            <w:r>
              <w:rPr>
                <w:rFonts w:ascii="Arial" w:hAnsi="Arial" w:cs="Arial" w:eastAsia="Arial"/>
                <w:color w:val="0E1E3A"/>
                <w:sz w:val="17"/>
                <w:szCs w:val="17"/>
              </w:rPr>
              <w:t>14.31</w:t>
            </w:r>
          </w:p>
        </w:tc>
        <w:tc>
          <w:tcPr>
            <w:tcW w:type="dxa" w:w="1663"/>
          </w:tcPr>
          <w:p>
            <w:pPr>
              <w:spacing w:before="0" w:after="0" w:line="264" w:lineRule="auto"/>
            </w:pPr>
            <w:r>
              <w:rPr>
                <w:rFonts w:ascii="Arial" w:hAnsi="Arial" w:cs="Arial" w:eastAsia="Arial"/>
                <w:color w:val="0E1E3A"/>
                <w:sz w:val="17"/>
                <w:szCs w:val="17"/>
              </w:rPr>
              <w:t>14.31</w:t>
            </w:r>
          </w:p>
        </w:tc>
        <w:tc>
          <w:tcPr>
            <w:tcW w:type="dxa" w:w="1663"/>
          </w:tcPr>
          <w:p>
            <w:pPr>
              <w:spacing w:before="0" w:after="0" w:line="264" w:lineRule="auto"/>
            </w:pPr>
            <w:r>
              <w:rPr>
                <w:rFonts w:ascii="Arial" w:hAnsi="Arial" w:cs="Arial" w:eastAsia="Arial"/>
                <w:color w:val="0E1E3A"/>
                <w:sz w:val="17"/>
                <w:szCs w:val="17"/>
              </w:rPr>
              <w:t>15.58</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RATIO5</w:t>
            </w:r>
          </w:p>
        </w:tc>
        <w:tc>
          <w:tcPr>
            <w:tcW w:type="dxa" w:w="1663"/>
          </w:tcPr>
          <w:p>
            <w:pPr>
              <w:spacing w:before="0" w:after="0" w:line="264" w:lineRule="auto"/>
            </w:pPr>
            <w:r>
              <w:rPr>
                <w:rFonts w:ascii="Arial" w:hAnsi="Arial" w:cs="Arial" w:eastAsia="Arial"/>
                <w:color w:val="0E1E3A"/>
                <w:sz w:val="17"/>
                <w:szCs w:val="17"/>
              </w:rPr>
              <w:t>1.15</w:t>
            </w:r>
          </w:p>
        </w:tc>
        <w:tc>
          <w:tcPr>
            <w:tcW w:type="dxa" w:w="1663"/>
          </w:tcPr>
          <w:p>
            <w:pPr>
              <w:spacing w:before="0" w:after="0" w:line="264" w:lineRule="auto"/>
            </w:pPr>
            <w:r>
              <w:rPr>
                <w:rFonts w:ascii="Arial" w:hAnsi="Arial" w:cs="Arial" w:eastAsia="Arial"/>
                <w:color w:val="0E1E3A"/>
                <w:sz w:val="17"/>
                <w:szCs w:val="17"/>
              </w:rPr>
              <w:t>-0.20</w:t>
            </w:r>
          </w:p>
        </w:tc>
        <w:tc>
          <w:tcPr>
            <w:tcW w:type="dxa" w:w="1663"/>
          </w:tcPr>
          <w:p>
            <w:pPr>
              <w:spacing w:before="0" w:after="0" w:line="264" w:lineRule="auto"/>
            </w:pPr>
            <w:r>
              <w:rPr>
                <w:rFonts w:ascii="Arial" w:hAnsi="Arial" w:cs="Arial" w:eastAsia="Arial"/>
                <w:color w:val="0E1E3A"/>
                <w:sz w:val="17"/>
                <w:szCs w:val="17"/>
              </w:rPr>
              <w:t>0.89</w:t>
            </w:r>
          </w:p>
        </w:tc>
        <w:tc>
          <w:tcPr>
            <w:tcW w:type="dxa" w:w="1663"/>
          </w:tcPr>
          <w:p>
            <w:pPr>
              <w:spacing w:before="0" w:after="0" w:line="264" w:lineRule="auto"/>
            </w:pPr>
            <w:r>
              <w:rPr>
                <w:rFonts w:ascii="Arial" w:hAnsi="Arial" w:cs="Arial" w:eastAsia="Arial"/>
                <w:color w:val="0E1E3A"/>
                <w:sz w:val="17"/>
                <w:szCs w:val="17"/>
              </w:rPr>
              <w:t>-0.36</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ERROR6</w:t>
            </w:r>
          </w:p>
        </w:tc>
        <w:tc>
          <w:tcPr>
            <w:tcW w:type="dxa" w:w="1663"/>
          </w:tcPr>
          <w:p>
            <w:pPr>
              <w:spacing w:before="0" w:after="0" w:line="264" w:lineRule="auto"/>
            </w:pPr>
            <w:r>
              <w:rPr>
                <w:rFonts w:ascii="Arial" w:hAnsi="Arial" w:cs="Arial" w:eastAsia="Arial"/>
                <w:color w:val="0E1E3A"/>
                <w:sz w:val="17"/>
                <w:szCs w:val="17"/>
              </w:rPr>
              <w:t>6.75</w:t>
            </w:r>
          </w:p>
        </w:tc>
        <w:tc>
          <w:tcPr>
            <w:tcW w:type="dxa" w:w="1663"/>
          </w:tcPr>
          <w:p>
            <w:pPr>
              <w:spacing w:before="0" w:after="0" w:line="264" w:lineRule="auto"/>
            </w:pPr>
            <w:r>
              <w:rPr>
                <w:rFonts w:ascii="Arial" w:hAnsi="Arial" w:cs="Arial" w:eastAsia="Arial"/>
                <w:color w:val="0E1E3A"/>
                <w:sz w:val="17"/>
                <w:szCs w:val="17"/>
              </w:rPr>
              <w:t>14.30</w:t>
            </w:r>
          </w:p>
        </w:tc>
        <w:tc>
          <w:tcPr>
            <w:tcW w:type="dxa" w:w="1663"/>
          </w:tcPr>
          <w:p>
            <w:pPr>
              <w:spacing w:before="0" w:after="0" w:line="264" w:lineRule="auto"/>
            </w:pPr>
            <w:r>
              <w:rPr>
                <w:rFonts w:ascii="Arial" w:hAnsi="Arial" w:cs="Arial" w:eastAsia="Arial"/>
                <w:color w:val="0E1E3A"/>
                <w:sz w:val="17"/>
                <w:szCs w:val="17"/>
              </w:rPr>
              <w:t>13.41</w:t>
            </w:r>
          </w:p>
        </w:tc>
        <w:tc>
          <w:tcPr>
            <w:tcW w:type="dxa" w:w="1663"/>
          </w:tcPr>
          <w:p>
            <w:pPr>
              <w:spacing w:before="0" w:after="0" w:line="264" w:lineRule="auto"/>
            </w:pPr>
            <w:r>
              <w:rPr>
                <w:rFonts w:ascii="Arial" w:hAnsi="Arial" w:cs="Arial" w:eastAsia="Arial"/>
                <w:color w:val="0E1E3A"/>
                <w:sz w:val="17"/>
                <w:szCs w:val="17"/>
              </w:rPr>
              <w:t>15.62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BETA7</w:t>
            </w:r>
          </w:p>
        </w:tc>
        <w:tc>
          <w:tcPr>
            <w:tcW w:type="dxa" w:w="1663"/>
          </w:tcPr>
          <w:p>
            <w:pPr>
              <w:spacing w:before="0" w:after="0" w:line="264" w:lineRule="auto"/>
            </w:pPr>
            <w:r>
              <w:rPr>
                <w:rFonts w:ascii="Arial" w:hAnsi="Arial" w:cs="Arial" w:eastAsia="Arial"/>
                <w:color w:val="0E1E3A"/>
                <w:sz w:val="17"/>
                <w:szCs w:val="17"/>
              </w:rPr>
              <w:t>-2.07</w:t>
            </w:r>
          </w:p>
        </w:tc>
        <w:tc>
          <w:tcPr>
            <w:tcW w:type="dxa" w:w="1663"/>
          </w:tcPr>
          <w:p>
            <w:pPr>
              <w:spacing w:before="0" w:after="0" w:line="264" w:lineRule="auto"/>
            </w:pPr>
            <w:r>
              <w:rPr>
                <w:rFonts w:ascii="Arial" w:hAnsi="Arial" w:cs="Arial" w:eastAsia="Arial"/>
                <w:color w:val="0E1E3A"/>
                <w:sz w:val="17"/>
                <w:szCs w:val="17"/>
              </w:rPr>
              <w:t>1.97</w:t>
            </w:r>
          </w:p>
        </w:tc>
        <w:tc>
          <w:tcPr>
            <w:tcW w:type="dxa" w:w="1663"/>
          </w:tcPr>
          <w:p>
            <w:pPr>
              <w:spacing w:before="0" w:after="0" w:line="264" w:lineRule="auto"/>
            </w:pPr>
            <w:r>
              <w:rPr>
                <w:rFonts w:ascii="Arial" w:hAnsi="Arial" w:cs="Arial" w:eastAsia="Arial"/>
                <w:color w:val="0E1E3A"/>
                <w:sz w:val="17"/>
                <w:szCs w:val="17"/>
              </w:rPr>
              <w:t>-1.44</w:t>
            </w:r>
          </w:p>
        </w:tc>
        <w:tc>
          <w:tcPr>
            <w:tcW w:type="dxa" w:w="1663"/>
          </w:tcPr>
          <w:p>
            <w:pPr>
              <w:spacing w:before="0" w:after="0" w:line="264" w:lineRule="auto"/>
            </w:pPr>
            <w:r>
              <w:rPr>
                <w:rFonts w:ascii="Arial" w:hAnsi="Arial" w:cs="Arial" w:eastAsia="Arial"/>
                <w:color w:val="0E1E3A"/>
                <w:sz w:val="17"/>
                <w:szCs w:val="17"/>
              </w:rPr>
              <w:t>-1.62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ALPHA8</w:t>
            </w:r>
          </w:p>
        </w:tc>
        <w:tc>
          <w:tcPr>
            <w:tcW w:type="dxa" w:w="1663"/>
          </w:tcPr>
          <w:p>
            <w:pPr>
              <w:spacing w:before="0" w:after="0" w:line="264" w:lineRule="auto"/>
            </w:pPr>
            <w:r>
              <w:rPr>
                <w:rFonts w:ascii="Arial" w:hAnsi="Arial" w:cs="Arial" w:eastAsia="Arial"/>
                <w:color w:val="0E1E3A"/>
                <w:sz w:val="17"/>
                <w:szCs w:val="17"/>
              </w:rPr>
              <w:t>0.05</w:t>
            </w:r>
          </w:p>
        </w:tc>
        <w:tc>
          <w:tcPr>
            <w:tcW w:type="dxa" w:w="1663"/>
          </w:tcPr>
          <w:p>
            <w:pPr>
              <w:spacing w:before="0" w:after="0" w:line="264" w:lineRule="auto"/>
            </w:pPr>
            <w:r>
              <w:rPr>
                <w:rFonts w:ascii="Arial" w:hAnsi="Arial" w:cs="Arial" w:eastAsia="Arial"/>
                <w:color w:val="0E1E3A"/>
                <w:sz w:val="17"/>
                <w:szCs w:val="17"/>
              </w:rPr>
              <w:t>-0.06</w:t>
            </w:r>
          </w:p>
        </w:tc>
        <w:tc>
          <w:tcPr>
            <w:tcW w:type="dxa" w:w="1663"/>
          </w:tcPr>
          <w:p>
            <w:pPr>
              <w:spacing w:before="0" w:after="0" w:line="264" w:lineRule="auto"/>
            </w:pPr>
            <w:r>
              <w:rPr>
                <w:rFonts w:ascii="Arial" w:hAnsi="Arial" w:cs="Arial" w:eastAsia="Arial"/>
                <w:color w:val="0E1E3A"/>
                <w:sz w:val="17"/>
                <w:szCs w:val="17"/>
              </w:rPr>
              <w:t>0.02</w:t>
            </w:r>
          </w:p>
        </w:tc>
        <w:tc>
          <w:tcPr>
            <w:tcW w:type="dxa" w:w="1663"/>
          </w:tcPr>
          <w:p>
            <w:pPr>
              <w:spacing w:before="0" w:after="0" w:line="264" w:lineRule="auto"/>
            </w:pPr>
            <w:r>
              <w:rPr>
                <w:rFonts w:ascii="Arial" w:hAnsi="Arial" w:cs="Arial" w:eastAsia="Arial"/>
                <w:color w:val="0E1E3A"/>
                <w:sz w:val="17"/>
                <w:szCs w:val="17"/>
              </w:rPr>
              <w:t>-0.09</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RATIO9</w:t>
            </w:r>
          </w:p>
        </w:tc>
        <w:tc>
          <w:tcPr>
            <w:tcW w:type="dxa" w:w="1663"/>
          </w:tcPr>
          <w:p>
            <w:pPr>
              <w:spacing w:before="0" w:after="0" w:line="264" w:lineRule="auto"/>
            </w:pPr>
            <w:r>
              <w:rPr>
                <w:rFonts w:ascii="Arial" w:hAnsi="Arial" w:cs="Arial" w:eastAsia="Arial"/>
                <w:color w:val="0E1E3A"/>
                <w:sz w:val="17"/>
                <w:szCs w:val="17"/>
              </w:rPr>
              <w:t>0.68%</w:t>
            </w:r>
          </w:p>
        </w:tc>
        <w:tc>
          <w:tcPr>
            <w:tcW w:type="dxa" w:w="1663"/>
          </w:tcPr>
          <w:p>
            <w:pPr>
              <w:spacing w:before="0" w:after="0" w:line="264" w:lineRule="auto"/>
            </w:pPr>
            <w:r>
              <w:rPr>
                <w:rFonts w:ascii="Arial" w:hAnsi="Arial" w:cs="Arial" w:eastAsia="Arial"/>
                <w:color w:val="0E1E3A"/>
                <w:sz w:val="17"/>
                <w:szCs w:val="17"/>
              </w:rPr>
              <w:t>-0.40%</w:t>
            </w:r>
          </w:p>
        </w:tc>
        <w:tc>
          <w:tcPr>
            <w:tcW w:type="dxa" w:w="1663"/>
          </w:tcPr>
          <w:p>
            <w:pPr>
              <w:spacing w:before="0" w:after="0" w:line="264" w:lineRule="auto"/>
            </w:pPr>
            <w:r>
              <w:rPr>
                <w:rFonts w:ascii="Arial" w:hAnsi="Arial" w:cs="Arial" w:eastAsia="Arial"/>
                <w:color w:val="0E1E3A"/>
                <w:sz w:val="17"/>
                <w:szCs w:val="17"/>
              </w:rPr>
              <w:t>0.13%</w:t>
            </w:r>
          </w:p>
        </w:tc>
        <w:tc>
          <w:tcPr>
            <w:tcW w:type="dxa" w:w="1663"/>
          </w:tcPr>
          <w:p>
            <w:pPr>
              <w:spacing w:before="0" w:after="0" w:line="264" w:lineRule="auto"/>
            </w:pPr>
            <w:r>
              <w:rPr>
                <w:rFonts w:ascii="Arial" w:hAnsi="Arial" w:cs="Arial" w:eastAsia="Arial"/>
                <w:color w:val="0E1E3A"/>
                <w:sz w:val="17"/>
                <w:szCs w:val="17"/>
              </w:rPr>
              <w:t>-0.60%</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30 September 2024 to 31 December 2024.</w:t>
      </w:r>
      <w:r>
        <w:br/>
      </w:r>
      <w:r>
        <w:rPr>
          <w:rFonts w:ascii="Arial" w:hAnsi="Arial" w:cs="Arial" w:eastAsia="Arial"/>
          <w:color w:val="5A6478"/>
          <w:sz w:val="17"/>
          <w:szCs w:val="17"/>
        </w:rPr>
        <w:t>2. For the period from 31 December 2023 to 31 December 2024.</w:t>
      </w:r>
      <w:r>
        <w:br/>
      </w:r>
      <w:r>
        <w:rPr>
          <w:rFonts w:ascii="Arial" w:hAnsi="Arial" w:cs="Arial" w:eastAsia="Arial"/>
          <w:color w:val="5A6478"/>
          <w:sz w:val="17"/>
          <w:szCs w:val="17"/>
        </w:rPr>
        <w:t>3. For the period from 31 December 2023 to 31 December 2024.</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w:t>
      </w:r>
      <w:r>
        <w:br/>
      </w:r>
      <w:r>
        <w:rPr>
          <w:rFonts w:ascii="Arial" w:hAnsi="Arial" w:cs="Arial" w:eastAsia="Arial"/>
          <w:color w:val="5A6478"/>
          <w:sz w:val="17"/>
          <w:szCs w:val="17"/>
        </w:rPr>
        <w:t>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 from</w:t>
      </w:r>
      <w:r>
        <w:br/>
      </w:r>
      <w:r>
        <w:rPr>
          <w:rFonts w:ascii="Arial" w:hAnsi="Arial" w:cs="Arial" w:eastAsia="Arial"/>
          <w:color w:val="5A6478"/>
          <w:sz w:val="17"/>
          <w:szCs w:val="17"/>
        </w:rPr>
        <w:t>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w:t>
      </w:r>
      <w:r>
        <w:br/>
      </w:r>
      <w:r>
        <w:rPr>
          <w:rFonts w:ascii="Arial" w:hAnsi="Arial" w:cs="Arial" w:eastAsia="Arial"/>
          <w:color w:val="5A6478"/>
          <w:sz w:val="17"/>
          <w:szCs w:val="17"/>
        </w:rPr>
        <w:t>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confidence of the equipment leasing industry has reached in December 2024 its highest level in three years. The Equipment Leasing and Finance Association’s (ELFA) Monthly Leasing and Finance Index (MLFI-25) rose to 68.8 in December compared to 67.5 in November. This index, which tracks the USD 1.3 trillion equipment leasing industry, reflects improving business conditions and future outlook.</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forecasts robust growth as the year end draws near. ELFA’s President and CEO Leigh Lytle stated that with strong balance sheets and healthy market conditions, the industry is well -positioned for growth, even if the Fed slows the pace of rate decreases.</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Global Trade Update (December 2024) published by the United Nations Conference on Trade and Development (UNCTAD), global trade is poised to surpass its 2022 peak and hit an all time high of nearly USD 33 trillion in 2024. This record growth has been driven largely by a 7% rise in trade in services, while trade in goods is projected to grow by around 2% this year, remaining below its 2022 peak.</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spite of the geopolitical and economic challenges, the International Chamber of Commerce (ICC) Trade Register 2024 reaffirms the resilience of trade finance instruments, with default rates remaining low across all regions and asset classes. The report confirms that trade, supply chain and export finance continue to exhibit low risk. Overall, when defaults do occur, they are generally idiosyncratic, stemming from well-known commercial, geopolitical or macroeconomic factors. As global trade faces ongoing geopolitical and economic pressures, these financial products continue to serve as vital tools for mitigating risk and maintaining liquidity, supportin g the stability of trade flows.</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Islamic Sukuk issuances increased after the US Fed lowered its interest rate to 5% in September 2024. This helped improve financing conditions and enhanced issuance activity. The US Fed’s lowering of the interest rates in 2024 has created a favorable environment, with rates dropping throughout the year, thus promoting additional Sukuk issuances until 2025.</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US Dow Jones Sukuk Index (ex-reinvestment) rose by 3.43% in 2024, while the S&amp;P GCC Bond and Sukuk Index gained by 1.27%.</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Q4 2024, the US Dow Jones Sukuk Index (ex-reinvestment) dropped by 1.73%, while the S&amp;P GCC Bond and Sukuk Index lost 3.30%.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1"/>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0378"/>
            <wp:docPr id="26" name="Picture 9052"/>
            <wp:cNvGraphicFramePr>
              <a:graphicFrameLocks noChangeAspect="1"/>
            </wp:cNvGraphicFramePr>
            <a:graphic>
              <a:graphicData uri="http://schemas.openxmlformats.org/drawingml/2006/picture">
                <pic:pic>
                  <pic:nvPicPr>
                    <pic:cNvPr id="0" name="x6.j.jpg"/>
                    <pic:cNvPicPr/>
                  </pic:nvPicPr>
                  <pic:blipFill>
                    <a:blip r:embed="rId23"/>
                    <a:stretch>
                      <a:fillRect/>
                    </a:stretch>
                  </pic:blipFill>
                  <pic:spPr>
                    <a:xfrm>
                      <a:off x="0" y="0"/>
                      <a:ext cx="6336000" cy="273037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53"/>
            <wp:cNvGraphicFramePr>
              <a:graphicFrameLocks noChangeAspect="1"/>
            </wp:cNvGraphicFramePr>
            <a:graphic>
              <a:graphicData uri="http://schemas.openxmlformats.org/drawingml/2006/picture">
                <pic:pic>
                  <pic:nvPicPr>
                    <pic:cNvPr id="0" name="ico_8eba3796ad497c7a142d47da7c90fea0.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8" name="Picture 9054"/>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Q4 2024</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