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9"/>
            <wp:cNvGraphicFramePr/>
            <a:graphic>
              <a:graphicData uri="http://schemas.openxmlformats.org/drawingml/2006/picture">
                <pic:pic>
                  <pic:nvPicPr>
                    <pic:cNvPr id="9029" name="banner9029.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الهدف الاستثماري للصندوق هو تحقيق دخل دوري للمستثمرين من خلال الاستثمار في أصول مدرّة للدخل في الصكوك، وصفقات التمويل التجاري، وصفقات الإجارة، وصناديق الدخل، وصفقات المرابحة، إما بشكل مباشر، أو من خلال صناديق استثمار متوافقة مع ضوابط لجنة الرقابة الشرعية.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w:t>
            </w:r>
          </w:p>
        </w:tc>
        <w:tc>
          <w:tcPr>
            <w:tcW w:type="dxa" w:w="6860"/>
          </w:tcPr>
          <w:p>
            <w:pPr>
              <w:bidi w:val="1"/>
              <w:spacing w:before="0" w:after="0" w:line="276" w:lineRule="auto"/>
            </w:pPr>
            <w:r>
              <w:rPr>
                <w:rFonts w:ascii="Arial" w:hAnsi="Arial" w:cs="Arial" w:eastAsia="Arial"/>
                <w:b/>
                <w:bCs/>
                <w:color w:val="0E1E3A"/>
                <w:sz w:val="18"/>
                <w:szCs w:val="18"/>
                <w:rtl/>
              </w:rPr>
              <w:t>433,232,506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معدل فائدة التمويل المضمون لليلة واحدة (SOFR) لمدة 12 شهرا، زائدا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 (إن وُجد)</w:t>
            </w:r>
          </w:p>
        </w:tc>
        <w:tc>
          <w:tcPr>
            <w:tcW w:type="dxa" w:w="6860"/>
          </w:tcPr>
          <w:p>
            <w:pPr>
              <w:bidi w:val="1"/>
              <w:spacing w:before="0" w:after="0" w:line="276" w:lineRule="auto"/>
            </w:pPr>
            <w:r>
              <w:rPr>
                <w:rFonts w:ascii="Arial" w:hAnsi="Arial" w:cs="Arial" w:eastAsia="Arial"/>
                <w:b/>
                <w:bCs/>
                <w:color w:val="0E1E3A"/>
                <w:sz w:val="18"/>
                <w:szCs w:val="18"/>
                <w:rtl/>
              </w:rPr>
              <w:t>بشكل نصف سنوي خلال شهري فبراير وأغسطس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‎0.26%‎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 (إن وُجد)</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أصول الصندوق كما في تاريخ 31 ديسمبر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و 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bidi w:val="1"/>
        <w:spacing w:before="0" w:after="80" w:line="312" w:lineRule="auto"/>
      </w:pPr>
      <w:r>
        <w:rPr>
          <w:rFonts w:ascii="Arial" w:hAnsi="Arial" w:cs="Arial" w:eastAsia="Arial"/>
          <w:color w:val="0E1E3A"/>
          <w:sz w:val="20"/>
          <w:szCs w:val="20"/>
          <w:rtl/>
        </w:rPr>
        <w:t>يواصل مدير الصندوق متابعة عملية التخارج من صندوق الدخل "برستيج بريميوم الزراعي" مع شركة كي بي إم جي (KPMG LLP) المشرفة على التخارج الاختياري، عن كثب، وقد تم تطبيق أحدث تقييم استلمه مدير الصندوق (البالغ 26.84 دولارا للوحدة) لصندوق الدخل "برستيج بريميوم الزراعي"، على آخر تقييم لصندوق "الخبير للدخل المتنوع المتداول"، وسوف يُبقي مالكي الوحدات على اطلاع بأية تطورات جوهرية تطرأ في حينه.</w:t>
      </w:r>
    </w:p>
    <w:p>
      <w:pPr>
        <w:bidi w:val="1"/>
        <w:spacing w:before="0" w:after="80" w:line="312" w:lineRule="auto"/>
      </w:pPr>
      <w:r>
        <w:rPr>
          <w:rFonts w:ascii="Arial" w:hAnsi="Arial" w:cs="Arial" w:eastAsia="Arial"/>
          <w:color w:val="0E1E3A"/>
          <w:sz w:val="20"/>
          <w:szCs w:val="20"/>
          <w:rtl/>
        </w:rPr>
        <w:t>كذلك يؤكد مدير الصندوق أيضا أن عملية التخارج من الاستثمار التي يعمل عليها مدير الصندوق تنطوي على عدة مخاطر، تشمل:</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حالات التأخير المحتملة في المسار الزمني للتخارج أو تحقيق عوائد أقل من المتوقع.</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انخفاض قيمة الاستثمار في حال بيع الأصول المستثمر بها بأقل من قيمتها الدفترية.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المخاطرة في عدم استرداد رأس المال المستثمر به كاملا؛ وذلك إذا واجه الصندوق بعد تصفيته التزامات أو نفقات إضافية غير متوقعة.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(ديسمبر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كما في نهاية الربع الرابع (31 ديسمبر 2025م)</w:t>
            </w:r>
          </w:p>
        </w:tc>
        <w:tc>
          <w:tcPr>
            <w:tcW w:type="dxa" w:w="6860"/>
          </w:tcPr>
          <w:p>
            <w:pPr>
              <w:bidi w:val="1"/>
              <w:spacing w:before="0" w:after="0" w:line="276" w:lineRule="auto"/>
            </w:pPr>
            <w:r>
              <w:rPr>
                <w:rFonts w:ascii="Arial" w:hAnsi="Arial" w:cs="Arial" w:eastAsia="Arial"/>
                <w:b/>
                <w:bCs/>
                <w:color w:val="0E1E3A"/>
                <w:sz w:val="18"/>
                <w:szCs w:val="18"/>
                <w:rtl/>
              </w:rPr>
              <w:t>5.32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‎-4.49%‎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أصول الصندوق</w:t>
            </w:r>
          </w:p>
        </w:tc>
        <w:tc>
          <w:tcPr>
            <w:tcW w:type="dxa" w:w="6860"/>
          </w:tcPr>
          <w:p>
            <w:pPr>
              <w:bidi w:val="1"/>
              <w:spacing w:before="0" w:after="0" w:line="276" w:lineRule="auto"/>
            </w:pPr>
            <w:r>
              <w:rPr>
                <w:rFonts w:ascii="Arial" w:hAnsi="Arial" w:cs="Arial" w:eastAsia="Arial"/>
                <w:b/>
                <w:bCs/>
                <w:color w:val="0E1E3A"/>
                <w:sz w:val="18"/>
                <w:szCs w:val="18"/>
                <w:rtl/>
              </w:rPr>
              <w:t>429,495,518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الرابع (ديسمبر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الإجمالية (TER)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1,879,804 ر.س.</w:t>
            </w:r>
          </w:p>
        </w:tc>
        <w:tc>
          <w:tcPr>
            <w:tcW w:type="dxa" w:w="3326"/>
          </w:tcPr>
          <w:p>
            <w:pPr>
              <w:bidi w:val="1"/>
              <w:spacing w:before="0" w:after="0" w:line="264" w:lineRule="auto"/>
            </w:pPr>
            <w:r>
              <w:rPr>
                <w:rFonts w:ascii="Arial" w:hAnsi="Arial" w:cs="Arial" w:eastAsia="Arial"/>
                <w:color w:val="0E1E3A"/>
                <w:sz w:val="17"/>
                <w:szCs w:val="17"/>
              </w:rPr>
              <w:t>‎0.44%‎</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مصاريف التعامل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الأرباح الموزعة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0E1E3A"/>
          <w:sz w:val="20"/>
          <w:szCs w:val="20"/>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وتنتفي المسؤولية عن مدير الصندوق أو أي من تابعيه في حال وقوع أي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2" name="Picture 904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1"/>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الرابع</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الرابع</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الرابع</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Aa</w:t>
            </w:r>
            <w:r>
              <w:rPr>
                <w:rFonts w:ascii="Arial" w:hAnsi="Arial" w:cs="Arial" w:eastAsia="Arial"/>
                <w:b/>
                <w:bCs/>
                <w:color w:val="0E1E3A"/>
                <w:sz w:val="18"/>
                <w:szCs w:val="18"/>
                <w:rtl/>
              </w:rPr>
              <w:t>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Aa</w:t>
            </w:r>
            <w:r>
              <w:rPr>
                <w:rFonts w:ascii="Arial" w:hAnsi="Arial" w:cs="Arial" w:eastAsia="Arial"/>
                <w:b/>
                <w:bCs/>
                <w:color w:val="0E1E3A"/>
                <w:sz w:val="18"/>
                <w:szCs w:val="18"/>
                <w:rtl/>
              </w:rPr>
              <w:t>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Moody’s</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27 نوفمبر 2024م</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3"/>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 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16" name="Picture 9044"/>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1883676"/>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883676"/>
            <wp:docPr id="17" name="Picture 9045"/>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3-4 سنوات.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الرابع)</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‎0.99%‎</w:t>
            </w:r>
          </w:p>
        </w:tc>
        <w:tc>
          <w:tcPr>
            <w:tcW w:type="dxa" w:w="1663"/>
          </w:tcPr>
          <w:p>
            <w:pPr>
              <w:bidi w:val="1"/>
              <w:spacing w:before="0" w:after="0" w:line="264" w:lineRule="auto"/>
            </w:pPr>
            <w:r>
              <w:rPr>
                <w:rFonts w:ascii="Arial" w:hAnsi="Arial" w:cs="Arial" w:eastAsia="Arial"/>
                <w:color w:val="0E1E3A"/>
                <w:sz w:val="17"/>
                <w:szCs w:val="17"/>
              </w:rPr>
              <w:t>‎-1.05%‎</w:t>
            </w:r>
          </w:p>
        </w:tc>
        <w:tc>
          <w:tcPr>
            <w:tcW w:type="dxa" w:w="1663"/>
          </w:tcPr>
          <w:p>
            <w:pPr>
              <w:bidi w:val="1"/>
              <w:spacing w:before="0" w:after="0" w:line="264" w:lineRule="auto"/>
            </w:pPr>
            <w:r>
              <w:rPr>
                <w:rFonts w:ascii="Arial" w:hAnsi="Arial" w:cs="Arial" w:eastAsia="Arial"/>
                <w:color w:val="0E1E3A"/>
                <w:sz w:val="17"/>
                <w:szCs w:val="17"/>
              </w:rPr>
              <w:t>‎-1.05%‎</w:t>
            </w:r>
          </w:p>
        </w:tc>
        <w:tc>
          <w:tcPr>
            <w:tcW w:type="dxa" w:w="1663"/>
          </w:tcPr>
          <w:p>
            <w:pPr>
              <w:bidi w:val="1"/>
              <w:spacing w:before="0" w:after="0" w:line="264" w:lineRule="auto"/>
            </w:pPr>
            <w:r>
              <w:rPr>
                <w:rFonts w:ascii="Arial" w:hAnsi="Arial" w:cs="Arial" w:eastAsia="Arial"/>
                <w:color w:val="0E1E3A"/>
                <w:sz w:val="17"/>
                <w:szCs w:val="17"/>
              </w:rPr>
              <w:t>‎7.20%‎</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‎1.59%‎</w:t>
            </w:r>
          </w:p>
        </w:tc>
        <w:tc>
          <w:tcPr>
            <w:tcW w:type="dxa" w:w="1663"/>
          </w:tcPr>
          <w:p>
            <w:pPr>
              <w:bidi w:val="1"/>
              <w:spacing w:before="0" w:after="0" w:line="264" w:lineRule="auto"/>
            </w:pPr>
            <w:r>
              <w:rPr>
                <w:rFonts w:ascii="Arial" w:hAnsi="Arial" w:cs="Arial" w:eastAsia="Arial"/>
                <w:color w:val="0E1E3A"/>
                <w:sz w:val="17"/>
                <w:szCs w:val="17"/>
              </w:rPr>
              <w:t>‎6.89%‎</w:t>
            </w:r>
          </w:p>
        </w:tc>
        <w:tc>
          <w:tcPr>
            <w:tcW w:type="dxa" w:w="1663"/>
          </w:tcPr>
          <w:p>
            <w:pPr>
              <w:bidi w:val="1"/>
              <w:spacing w:before="0" w:after="0" w:line="264" w:lineRule="auto"/>
            </w:pPr>
            <w:r>
              <w:rPr>
                <w:rFonts w:ascii="Arial" w:hAnsi="Arial" w:cs="Arial" w:eastAsia="Arial"/>
                <w:color w:val="0E1E3A"/>
                <w:sz w:val="17"/>
                <w:szCs w:val="17"/>
              </w:rPr>
              <w:t>‎6.89%‎</w:t>
            </w:r>
          </w:p>
        </w:tc>
        <w:tc>
          <w:tcPr>
            <w:tcW w:type="dxa" w:w="1663"/>
          </w:tcPr>
          <w:p>
            <w:pPr>
              <w:bidi w:val="1"/>
              <w:spacing w:before="0" w:after="0" w:line="264" w:lineRule="auto"/>
            </w:pPr>
            <w:r>
              <w:rPr>
                <w:rFonts w:ascii="Arial" w:hAnsi="Arial" w:cs="Arial" w:eastAsia="Arial"/>
                <w:color w:val="0E1E3A"/>
                <w:sz w:val="17"/>
                <w:szCs w:val="17"/>
              </w:rPr>
              <w:t>‎24.65%‎</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‎-0.60%‎</w:t>
            </w:r>
          </w:p>
        </w:tc>
        <w:tc>
          <w:tcPr>
            <w:tcW w:type="dxa" w:w="1663"/>
          </w:tcPr>
          <w:p>
            <w:pPr>
              <w:bidi w:val="1"/>
              <w:spacing w:before="0" w:after="0" w:line="264" w:lineRule="auto"/>
            </w:pPr>
            <w:r>
              <w:rPr>
                <w:rFonts w:ascii="Arial" w:hAnsi="Arial" w:cs="Arial" w:eastAsia="Arial"/>
                <w:color w:val="0E1E3A"/>
                <w:sz w:val="17"/>
                <w:szCs w:val="17"/>
              </w:rPr>
              <w:t>‎-7.94%‎</w:t>
            </w:r>
          </w:p>
        </w:tc>
        <w:tc>
          <w:tcPr>
            <w:tcW w:type="dxa" w:w="1663"/>
          </w:tcPr>
          <w:p>
            <w:pPr>
              <w:bidi w:val="1"/>
              <w:spacing w:before="0" w:after="0" w:line="264" w:lineRule="auto"/>
            </w:pPr>
            <w:r>
              <w:rPr>
                <w:rFonts w:ascii="Arial" w:hAnsi="Arial" w:cs="Arial" w:eastAsia="Arial"/>
                <w:color w:val="0E1E3A"/>
                <w:sz w:val="17"/>
                <w:szCs w:val="17"/>
              </w:rPr>
              <w:t>‎-7.94%‎</w:t>
            </w:r>
          </w:p>
        </w:tc>
        <w:tc>
          <w:tcPr>
            <w:tcW w:type="dxa" w:w="1663"/>
          </w:tcPr>
          <w:p>
            <w:pPr>
              <w:bidi w:val="1"/>
              <w:spacing w:before="0" w:after="0" w:line="264" w:lineRule="auto"/>
            </w:pPr>
            <w:r>
              <w:rPr>
                <w:rFonts w:ascii="Arial" w:hAnsi="Arial" w:cs="Arial" w:eastAsia="Arial"/>
                <w:color w:val="0E1E3A"/>
                <w:sz w:val="17"/>
                <w:szCs w:val="17"/>
              </w:rPr>
              <w:t>‎-17.45%‎</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r>
        <w:br/>
      </w:r>
      <w:r>
        <w:rPr>
          <w:rFonts w:ascii="Arial" w:hAnsi="Arial" w:cs="Arial" w:eastAsia="Arial"/>
          <w:color w:val="5A6478"/>
          <w:sz w:val="17"/>
          <w:szCs w:val="17"/>
          <w:rtl/>
        </w:rPr>
        <w:t>**عن الفترة من 1 يناير 2025م إلى 31 ديسمبر 2025م.</w:t>
      </w:r>
      <w:r>
        <w:br/>
      </w:r>
      <w:r>
        <w:rPr>
          <w:rFonts w:ascii="Arial" w:hAnsi="Arial" w:cs="Arial" w:eastAsia="Arial"/>
          <w:color w:val="5A6478"/>
          <w:sz w:val="17"/>
          <w:szCs w:val="17"/>
          <w:rtl/>
        </w:rPr>
        <w:t>*** عن الفترة من 31 ديسمبر 2024م إلى 31 ديسمبر 2025م.</w:t>
      </w:r>
      <w:r>
        <w:br/>
      </w:r>
      <w:r>
        <w:rPr>
          <w:rFonts w:ascii="Arial" w:hAnsi="Arial" w:cs="Arial" w:eastAsia="Arial"/>
          <w:color w:val="5A6478"/>
          <w:sz w:val="17"/>
          <w:szCs w:val="17"/>
          <w:rtl/>
        </w:rPr>
        <w:t>**** عن الفترة من 31 ديسمبر 2022م إلى 31 ديسمبر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7"/>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الرابع)</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7.73</w:t>
            </w:r>
          </w:p>
        </w:tc>
        <w:tc>
          <w:tcPr>
            <w:tcW w:type="dxa" w:w="1663"/>
          </w:tcPr>
          <w:p>
            <w:pPr>
              <w:bidi w:val="1"/>
              <w:spacing w:before="0" w:after="0" w:line="264" w:lineRule="auto"/>
            </w:pPr>
            <w:r>
              <w:rPr>
                <w:rFonts w:ascii="Arial" w:hAnsi="Arial" w:cs="Arial" w:eastAsia="Arial"/>
                <w:color w:val="0E1E3A"/>
                <w:sz w:val="17"/>
                <w:szCs w:val="17"/>
                <w:rtl/>
              </w:rPr>
              <w:t>8.15</w:t>
            </w:r>
          </w:p>
        </w:tc>
        <w:tc>
          <w:tcPr>
            <w:tcW w:type="dxa" w:w="1663"/>
          </w:tcPr>
          <w:p>
            <w:pPr>
              <w:bidi w:val="1"/>
              <w:spacing w:before="0" w:after="0" w:line="264" w:lineRule="auto"/>
            </w:pPr>
            <w:r>
              <w:rPr>
                <w:rFonts w:ascii="Arial" w:hAnsi="Arial" w:cs="Arial" w:eastAsia="Arial"/>
                <w:color w:val="0E1E3A"/>
                <w:sz w:val="17"/>
                <w:szCs w:val="17"/>
                <w:rtl/>
              </w:rPr>
              <w:t>8.15</w:t>
            </w:r>
          </w:p>
        </w:tc>
        <w:tc>
          <w:tcPr>
            <w:tcW w:type="dxa" w:w="1663"/>
          </w:tcPr>
          <w:p>
            <w:pPr>
              <w:bidi w:val="1"/>
              <w:spacing w:before="0" w:after="0" w:line="264" w:lineRule="auto"/>
            </w:pPr>
            <w:r>
              <w:rPr>
                <w:rFonts w:ascii="Arial" w:hAnsi="Arial" w:cs="Arial" w:eastAsia="Arial"/>
                <w:color w:val="0E1E3A"/>
                <w:sz w:val="17"/>
                <w:szCs w:val="17"/>
                <w:rtl/>
              </w:rPr>
              <w:t>13.68</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-2.68</w:t>
            </w:r>
          </w:p>
        </w:tc>
        <w:tc>
          <w:tcPr>
            <w:tcW w:type="dxa" w:w="1663"/>
          </w:tcPr>
          <w:p>
            <w:pPr>
              <w:bidi w:val="1"/>
              <w:spacing w:before="0" w:after="0" w:line="264" w:lineRule="auto"/>
            </w:pPr>
            <w:r>
              <w:rPr>
                <w:rFonts w:ascii="Arial" w:hAnsi="Arial" w:cs="Arial" w:eastAsia="Arial"/>
                <w:color w:val="0E1E3A"/>
                <w:sz w:val="17"/>
                <w:szCs w:val="17"/>
                <w:rtl/>
              </w:rPr>
              <w:t>-2.30</w:t>
            </w:r>
          </w:p>
        </w:tc>
        <w:tc>
          <w:tcPr>
            <w:tcW w:type="dxa" w:w="1663"/>
          </w:tcPr>
          <w:p>
            <w:pPr>
              <w:bidi w:val="1"/>
              <w:spacing w:before="0" w:after="0" w:line="264" w:lineRule="auto"/>
            </w:pPr>
            <w:r>
              <w:rPr>
                <w:rFonts w:ascii="Arial" w:hAnsi="Arial" w:cs="Arial" w:eastAsia="Arial"/>
                <w:color w:val="0E1E3A"/>
                <w:sz w:val="17"/>
                <w:szCs w:val="17"/>
                <w:rtl/>
              </w:rPr>
              <w:t>-2.30</w:t>
            </w:r>
          </w:p>
        </w:tc>
        <w:tc>
          <w:tcPr>
            <w:tcW w:type="dxa" w:w="1663"/>
          </w:tcPr>
          <w:p>
            <w:pPr>
              <w:bidi w:val="1"/>
              <w:spacing w:before="0" w:after="0" w:line="264" w:lineRule="auto"/>
            </w:pPr>
            <w:r>
              <w:rPr>
                <w:rFonts w:ascii="Arial" w:hAnsi="Arial" w:cs="Arial" w:eastAsia="Arial"/>
                <w:color w:val="0E1E3A"/>
                <w:sz w:val="17"/>
                <w:szCs w:val="17"/>
                <w:rtl/>
              </w:rPr>
              <w:t>-0.1</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7.73</w:t>
            </w:r>
          </w:p>
        </w:tc>
        <w:tc>
          <w:tcPr>
            <w:tcW w:type="dxa" w:w="1663"/>
          </w:tcPr>
          <w:p>
            <w:pPr>
              <w:bidi w:val="1"/>
              <w:spacing w:before="0" w:after="0" w:line="264" w:lineRule="auto"/>
            </w:pPr>
            <w:r>
              <w:rPr>
                <w:rFonts w:ascii="Arial" w:hAnsi="Arial" w:cs="Arial" w:eastAsia="Arial"/>
                <w:color w:val="0E1E3A"/>
                <w:sz w:val="17"/>
                <w:szCs w:val="17"/>
                <w:rtl/>
              </w:rPr>
              <w:t>8.19</w:t>
            </w:r>
          </w:p>
        </w:tc>
        <w:tc>
          <w:tcPr>
            <w:tcW w:type="dxa" w:w="1663"/>
          </w:tcPr>
          <w:p>
            <w:pPr>
              <w:bidi w:val="1"/>
              <w:spacing w:before="0" w:after="0" w:line="264" w:lineRule="auto"/>
            </w:pPr>
            <w:r>
              <w:rPr>
                <w:rFonts w:ascii="Arial" w:hAnsi="Arial" w:cs="Arial" w:eastAsia="Arial"/>
                <w:color w:val="0E1E3A"/>
                <w:sz w:val="17"/>
                <w:szCs w:val="17"/>
                <w:rtl/>
              </w:rPr>
              <w:t>8.19</w:t>
            </w:r>
          </w:p>
        </w:tc>
        <w:tc>
          <w:tcPr>
            <w:tcW w:type="dxa" w:w="1663"/>
          </w:tcPr>
          <w:p>
            <w:pPr>
              <w:bidi w:val="1"/>
              <w:spacing w:before="0" w:after="0" w:line="264" w:lineRule="auto"/>
            </w:pPr>
            <w:r>
              <w:rPr>
                <w:rFonts w:ascii="Arial" w:hAnsi="Arial" w:cs="Arial" w:eastAsia="Arial"/>
                <w:color w:val="0E1E3A"/>
                <w:sz w:val="17"/>
                <w:szCs w:val="17"/>
                <w:rtl/>
              </w:rPr>
              <w:t>13.66</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0.74</w:t>
            </w:r>
          </w:p>
        </w:tc>
        <w:tc>
          <w:tcPr>
            <w:tcW w:type="dxa" w:w="1663"/>
          </w:tcPr>
          <w:p>
            <w:pPr>
              <w:bidi w:val="1"/>
              <w:spacing w:before="0" w:after="0" w:line="264" w:lineRule="auto"/>
            </w:pPr>
            <w:r>
              <w:rPr>
                <w:rFonts w:ascii="Arial" w:hAnsi="Arial" w:cs="Arial" w:eastAsia="Arial"/>
                <w:color w:val="0E1E3A"/>
                <w:sz w:val="17"/>
                <w:szCs w:val="17"/>
                <w:rtl/>
              </w:rPr>
              <w:t>-1.12</w:t>
            </w:r>
          </w:p>
        </w:tc>
        <w:tc>
          <w:tcPr>
            <w:tcW w:type="dxa" w:w="1663"/>
          </w:tcPr>
          <w:p>
            <w:pPr>
              <w:bidi w:val="1"/>
              <w:spacing w:before="0" w:after="0" w:line="264" w:lineRule="auto"/>
            </w:pPr>
            <w:r>
              <w:rPr>
                <w:rFonts w:ascii="Arial" w:hAnsi="Arial" w:cs="Arial" w:eastAsia="Arial"/>
                <w:color w:val="0E1E3A"/>
                <w:sz w:val="17"/>
                <w:szCs w:val="17"/>
                <w:rtl/>
              </w:rPr>
              <w:t>-1.12</w:t>
            </w:r>
          </w:p>
        </w:tc>
        <w:tc>
          <w:tcPr>
            <w:tcW w:type="dxa" w:w="1663"/>
          </w:tcPr>
          <w:p>
            <w:pPr>
              <w:bidi w:val="1"/>
              <w:spacing w:before="0" w:after="0" w:line="264" w:lineRule="auto"/>
            </w:pPr>
            <w:r>
              <w:rPr>
                <w:rFonts w:ascii="Arial" w:hAnsi="Arial" w:cs="Arial" w:eastAsia="Arial"/>
                <w:color w:val="0E1E3A"/>
                <w:sz w:val="17"/>
                <w:szCs w:val="17"/>
                <w:rtl/>
              </w:rPr>
              <w:t>1.47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Pr>
              <w:t>‎-22.48%‎</w:t>
            </w:r>
          </w:p>
        </w:tc>
        <w:tc>
          <w:tcPr>
            <w:tcW w:type="dxa" w:w="1663"/>
          </w:tcPr>
          <w:p>
            <w:pPr>
              <w:bidi w:val="1"/>
              <w:spacing w:before="0" w:after="0" w:line="264" w:lineRule="auto"/>
            </w:pPr>
            <w:r>
              <w:rPr>
                <w:rFonts w:ascii="Arial" w:hAnsi="Arial" w:cs="Arial" w:eastAsia="Arial"/>
                <w:color w:val="0E1E3A"/>
                <w:sz w:val="17"/>
                <w:szCs w:val="17"/>
              </w:rPr>
              <w:t>‎-6.88%‎</w:t>
            </w:r>
          </w:p>
        </w:tc>
        <w:tc>
          <w:tcPr>
            <w:tcW w:type="dxa" w:w="1663"/>
          </w:tcPr>
          <w:p>
            <w:pPr>
              <w:bidi w:val="1"/>
              <w:spacing w:before="0" w:after="0" w:line="264" w:lineRule="auto"/>
            </w:pPr>
            <w:r>
              <w:rPr>
                <w:rFonts w:ascii="Arial" w:hAnsi="Arial" w:cs="Arial" w:eastAsia="Arial"/>
                <w:color w:val="0E1E3A"/>
                <w:sz w:val="17"/>
                <w:szCs w:val="17"/>
              </w:rPr>
              <w:t>‎-6.88%‎</w:t>
            </w:r>
          </w:p>
        </w:tc>
        <w:tc>
          <w:tcPr>
            <w:tcW w:type="dxa" w:w="1663"/>
          </w:tcPr>
          <w:p>
            <w:pPr>
              <w:bidi w:val="1"/>
              <w:spacing w:before="0" w:after="0" w:line="264" w:lineRule="auto"/>
            </w:pPr>
            <w:r>
              <w:rPr>
                <w:rFonts w:ascii="Arial" w:hAnsi="Arial" w:cs="Arial" w:eastAsia="Arial"/>
                <w:color w:val="0E1E3A"/>
                <w:sz w:val="17"/>
                <w:szCs w:val="17"/>
              </w:rPr>
              <w:t>‎-7.60%‎</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Pr>
              <w:t>‎-2.94%‎</w:t>
            </w:r>
          </w:p>
        </w:tc>
        <w:tc>
          <w:tcPr>
            <w:tcW w:type="dxa" w:w="1663"/>
          </w:tcPr>
          <w:p>
            <w:pPr>
              <w:bidi w:val="1"/>
              <w:spacing w:before="0" w:after="0" w:line="264" w:lineRule="auto"/>
            </w:pPr>
            <w:r>
              <w:rPr>
                <w:rFonts w:ascii="Arial" w:hAnsi="Arial" w:cs="Arial" w:eastAsia="Arial"/>
                <w:color w:val="0E1E3A"/>
                <w:sz w:val="17"/>
                <w:szCs w:val="17"/>
              </w:rPr>
              <w:t>‎-2.85%‎</w:t>
            </w:r>
          </w:p>
        </w:tc>
        <w:tc>
          <w:tcPr>
            <w:tcW w:type="dxa" w:w="1663"/>
          </w:tcPr>
          <w:p>
            <w:pPr>
              <w:bidi w:val="1"/>
              <w:spacing w:before="0" w:after="0" w:line="264" w:lineRule="auto"/>
            </w:pPr>
            <w:r>
              <w:rPr>
                <w:rFonts w:ascii="Arial" w:hAnsi="Arial" w:cs="Arial" w:eastAsia="Arial"/>
                <w:color w:val="0E1E3A"/>
                <w:sz w:val="17"/>
                <w:szCs w:val="17"/>
              </w:rPr>
              <w:t>‎-2.85%‎</w:t>
            </w:r>
          </w:p>
        </w:tc>
        <w:tc>
          <w:tcPr>
            <w:tcW w:type="dxa" w:w="1663"/>
          </w:tcPr>
          <w:p>
            <w:pPr>
              <w:bidi w:val="1"/>
              <w:spacing w:before="0" w:after="0" w:line="264" w:lineRule="auto"/>
            </w:pPr>
            <w:r>
              <w:rPr>
                <w:rFonts w:ascii="Arial" w:hAnsi="Arial" w:cs="Arial" w:eastAsia="Arial"/>
                <w:color w:val="0E1E3A"/>
                <w:sz w:val="17"/>
                <w:szCs w:val="17"/>
              </w:rPr>
              <w:t>‎-0.30%‎</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*عن الفترة من 1 يناير 2025م إلى 31 ديسمبر 2025م.</w:t>
      </w:r>
      <w:r>
        <w:br/>
      </w:r>
      <w:r>
        <w:rPr>
          <w:rFonts w:ascii="Arial" w:hAnsi="Arial" w:cs="Arial" w:eastAsia="Arial"/>
          <w:color w:val="5A6478"/>
          <w:sz w:val="17"/>
          <w:szCs w:val="17"/>
          <w:rtl/>
        </w:rPr>
        <w:t>** عن الفترة من 31 ديسمبر 2024م إلى 31 ديسمبر 2025م.</w:t>
      </w:r>
      <w:r>
        <w:br/>
      </w:r>
      <w:r>
        <w:rPr>
          <w:rFonts w:ascii="Arial" w:hAnsi="Arial" w:cs="Arial" w:eastAsia="Arial"/>
          <w:color w:val="5A6478"/>
          <w:sz w:val="17"/>
          <w:szCs w:val="17"/>
          <w:rtl/>
        </w:rPr>
        <w:t>*** عن الفترة من 31 ديسمبر 2022م إلى 31 ديسمبر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r>
        <w:tc>
          <w:tcPr>
            <w:tcW w:type="dxa" w:w="3326"/>
          </w:tcPr>
          <w:p>
            <w:pPr>
              <w:bidi w:val="1"/>
              <w:spacing w:before="0" w:after="0" w:line="264" w:lineRule="auto"/>
            </w:pPr>
            <w:r>
              <w:rPr>
                <w:rFonts w:ascii="Arial" w:hAnsi="Arial" w:cs="Arial" w:eastAsia="Arial"/>
                <w:color w:val="0E1E3A"/>
                <w:sz w:val="17"/>
                <w:szCs w:val="17"/>
                <w:rtl/>
              </w:rPr>
              <w:t>مؤشر المعلومات</w:t>
            </w:r>
          </w:p>
        </w:tc>
        <w:tc>
          <w:tcPr>
            <w:tcW w:type="dxa" w:w="3326"/>
          </w:tcPr>
          <w:p>
            <w:pPr>
              <w:bidi w:val="1"/>
              <w:spacing w:before="0" w:after="0" w:line="264" w:lineRule="auto"/>
            </w:pPr>
            <w:r>
              <w:rPr>
                <w:rFonts w:ascii="Arial" w:hAnsi="Arial" w:cs="Arial" w:eastAsia="Arial"/>
                <w:color w:val="0E1E3A"/>
                <w:sz w:val="17"/>
                <w:szCs w:val="17"/>
                <w:rtl/>
              </w:rPr>
              <w:t>IR = (Rp − Rb) / σ (Rp −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 Return of the portfolio</w:t>
            </w:r>
            <w:r>
              <w:br/>
            </w:r>
            <w:r>
              <w:rPr>
                <w:rFonts w:ascii="Arial" w:hAnsi="Arial" w:cs="Arial" w:eastAsia="Arial"/>
                <w:color w:val="0E1E3A"/>
                <w:sz w:val="17"/>
                <w:szCs w:val="17"/>
                <w:rtl/>
              </w:rPr>
              <w:t>Rb = Return of the benchmark</w:t>
            </w:r>
            <w:r>
              <w:br/>
            </w:r>
            <w:r>
              <w:rPr>
                <w:rFonts w:ascii="Arial" w:hAnsi="Arial" w:cs="Arial" w:eastAsia="Arial"/>
                <w:color w:val="0E1E3A"/>
                <w:sz w:val="17"/>
                <w:szCs w:val="17"/>
                <w:rtl/>
              </w:rPr>
              <w:t>Rp-Rb = Active return (the difference between portfolio and benchmark returns</w:t>
            </w:r>
            <w:r>
              <w:br/>
            </w:r>
            <w:r>
              <w:rPr>
                <w:rFonts w:ascii="Arial" w:hAnsi="Arial" w:cs="Arial" w:eastAsia="Arial"/>
                <w:color w:val="0E1E3A"/>
                <w:sz w:val="17"/>
                <w:szCs w:val="17"/>
                <w:rtl/>
              </w:rPr>
              <w:t>σ(Rp−Rb) = Tracking error (standard deviation of the active return)</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2816000"/>
            <wp:docPr id="22" name="Picture 9050"/>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816000"/>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31 ديسمبر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1"/>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2"/>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الرابع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