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9"/>
            <wp:cNvGraphicFramePr/>
            <a:graphic>
              <a:graphicData uri="http://schemas.openxmlformats.org/drawingml/2006/picture">
                <pic:pic>
                  <pic:nvPicPr>
                    <pic:cNvPr id="9029" name="banner9029.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30"/>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a)</w:t>
      </w:r>
      <w:r>
        <w:rPr>
          <w:rFonts w:ascii="Arial" w:hAnsi="Arial" w:cs="Arial" w:eastAsia="Arial"/>
          <w:b/>
          <w:bCs/>
          <w:color w:val="3B7DD8"/>
          <w:sz w:val="26"/>
          <w:szCs w:val="26"/>
        </w:rPr>
        <w:t xml:space="preserve">  </w:t>
      </w:r>
      <w:r>
        <w:rPr>
          <w:rFonts w:ascii="Arial" w:hAnsi="Arial" w:cs="Arial" w:eastAsia="Arial"/>
          <w:b/>
          <w:bCs/>
          <w:color w:val="12284B"/>
          <w:sz w:val="26"/>
          <w:szCs w:val="26"/>
        </w:rPr>
        <w:t>Fund Objective:</w:t>
      </w:r>
    </w:p>
    <w:p>
      <w:pPr>
        <w:spacing w:before="0" w:after="80" w:line="312" w:lineRule="auto"/>
      </w:pPr>
      <w:r>
        <w:rPr>
          <w:rFonts w:ascii="Arial" w:hAnsi="Arial" w:cs="Arial" w:eastAsia="Arial"/>
          <w:color w:val="0E1E3A"/>
          <w:sz w:val="20"/>
          <w:szCs w:val="20"/>
        </w:rPr>
        <w:t>The Fund investment objective is to generate periodic income to investors by investing in income generating assets, Trade Financing Transations, Leasing Transactions, Income Funds and Murabaha transactions, either directly or by way of Shari'a compliant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b)</w:t>
      </w:r>
      <w:r>
        <w:rPr>
          <w:rFonts w:ascii="Arial" w:hAnsi="Arial" w:cs="Arial" w:eastAsia="Arial"/>
          <w:b/>
          <w:bCs/>
          <w:color w:val="3B7DD8"/>
          <w:sz w:val="26"/>
          <w:szCs w:val="26"/>
        </w:rP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Fund Inception Date</w:t>
            </w:r>
          </w:p>
        </w:tc>
        <w:tc>
          <w:tcPr>
            <w:tcW w:type="dxa" w:w="6860"/>
          </w:tcPr>
          <w:p>
            <w:pPr>
              <w:spacing w:before="0" w:after="0" w:line="276" w:lineRule="auto"/>
            </w:pPr>
            <w:r>
              <w:rPr>
                <w:rFonts w:ascii="Arial" w:hAnsi="Arial" w:cs="Arial" w:eastAsia="Arial"/>
                <w:b/>
                <w:bCs/>
                <w:color w:val="0E1E3A"/>
                <w:sz w:val="18"/>
                <w:szCs w:val="18"/>
              </w:rPr>
              <w:t>19 January 2021</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Fund Size *</w:t>
            </w:r>
          </w:p>
        </w:tc>
        <w:tc>
          <w:tcPr>
            <w:tcW w:type="dxa" w:w="6860"/>
          </w:tcPr>
          <w:p>
            <w:pPr>
              <w:spacing w:before="0" w:after="0" w:line="276" w:lineRule="auto"/>
            </w:pPr>
            <w:r>
              <w:rPr>
                <w:rFonts w:ascii="Arial" w:hAnsi="Arial" w:cs="Arial" w:eastAsia="Arial"/>
                <w:b/>
                <w:bCs/>
                <w:color w:val="0E1E3A"/>
                <w:sz w:val="18"/>
                <w:szCs w:val="18"/>
              </w:rPr>
              <w:t>SAR 433,232,506</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Fund</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SAR</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12 months Term SOFR + 300 bps</w:t>
            </w:r>
          </w:p>
        </w:tc>
      </w:tr>
      <w:tr>
        <w:tc>
          <w:tcPr>
            <w:tcW w:type="dxa" w:w="3118"/>
            <w:shd w:val="clear" w:color="auto" w:fill="F3F6FB"/>
          </w:tcPr>
          <w:p>
            <w:pPr>
              <w:spacing w:before="0" w:after="0" w:line="276" w:lineRule="auto"/>
            </w:pPr>
            <w:r>
              <w:rPr>
                <w:rFonts w:ascii="Arial" w:hAnsi="Arial" w:cs="Arial" w:eastAsia="Arial"/>
                <w:color w:val="5A6478"/>
                <w:sz w:val="18"/>
                <w:szCs w:val="18"/>
              </w:rPr>
              <w:t>Frequency of Dividend Distribution (if any)</w:t>
            </w:r>
          </w:p>
        </w:tc>
        <w:tc>
          <w:tcPr>
            <w:tcW w:type="dxa" w:w="6860"/>
          </w:tcPr>
          <w:p>
            <w:pPr>
              <w:spacing w:before="0" w:after="0" w:line="276" w:lineRule="auto"/>
            </w:pPr>
            <w:r>
              <w:rPr>
                <w:rFonts w:ascii="Arial" w:hAnsi="Arial" w:cs="Arial" w:eastAsia="Arial"/>
                <w:b/>
                <w:bCs/>
                <w:color w:val="0E1E3A"/>
                <w:sz w:val="18"/>
                <w:szCs w:val="18"/>
              </w:rPr>
              <w:t>Semi Annually, in February and August of each Year</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Management Fees of Underlying Funds</w:t>
            </w:r>
          </w:p>
        </w:tc>
        <w:tc>
          <w:tcPr>
            <w:tcW w:type="dxa" w:w="6860"/>
          </w:tcPr>
          <w:p>
            <w:pPr>
              <w:spacing w:before="0" w:after="0" w:line="276" w:lineRule="auto"/>
            </w:pPr>
            <w:r>
              <w:rPr>
                <w:rFonts w:ascii="Arial" w:hAnsi="Arial" w:cs="Arial" w:eastAsia="Arial"/>
                <w:b/>
                <w:bCs/>
                <w:color w:val="0E1E3A"/>
                <w:sz w:val="18"/>
                <w:szCs w:val="18"/>
              </w:rPr>
              <w:t>0.26%</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 (if any)</w:t>
            </w:r>
          </w:p>
        </w:tc>
        <w:tc>
          <w:tcPr>
            <w:tcW w:type="dxa" w:w="6860"/>
          </w:tcPr>
          <w:p>
            <w:pPr>
              <w:spacing w:before="0" w:after="0" w:line="276" w:lineRule="auto"/>
            </w:pPr>
            <w:r>
              <w:rPr>
                <w:rFonts w:ascii="Arial" w:hAnsi="Arial" w:cs="Arial" w:eastAsia="Arial"/>
                <w:b/>
                <w:bCs/>
                <w:color w:val="0E1E3A"/>
                <w:sz w:val="18"/>
                <w:szCs w:val="18"/>
              </w:rPr>
              <w:t>92 days</w:t>
            </w:r>
          </w:p>
        </w:tc>
      </w:tr>
    </w:tbl>
    <w:p>
      <w:pPr>
        <w:spacing w:before="0" w:after="40" w:line="300" w:lineRule="auto"/>
      </w:pPr>
    </w:p>
    <w:p>
      <w:pPr>
        <w:spacing w:before="0" w:after="80" w:line="312" w:lineRule="auto"/>
      </w:pPr>
      <w:r>
        <w:rPr>
          <w:rFonts w:ascii="Arial" w:hAnsi="Arial" w:cs="Arial" w:eastAsia="Arial"/>
          <w:color w:val="5A6478"/>
          <w:sz w:val="17"/>
          <w:szCs w:val="17"/>
        </w:rPr>
        <w:t>* Total Asset Value as at 31 December 2025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c)</w:t>
      </w:r>
      <w:r>
        <w:rPr>
          <w:rFonts w:ascii="Arial" w:hAnsi="Arial" w:cs="Arial" w:eastAsia="Arial"/>
          <w:b/>
          <w:bCs/>
          <w:color w:val="3B7DD8"/>
          <w:sz w:val="26"/>
          <w:szCs w:val="26"/>
        </w:rPr>
        <w:t xml:space="preserve">  </w:t>
      </w:r>
      <w:r>
        <w:rPr>
          <w:rFonts w:ascii="Arial" w:hAnsi="Arial" w:cs="Arial" w:eastAsia="Arial"/>
          <w:b/>
          <w:bCs/>
          <w:color w:val="12284B"/>
          <w:sz w:val="26"/>
          <w:szCs w:val="26"/>
        </w:rPr>
        <w:t>Definitions: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Standard Deviation</w:t>
            </w:r>
          </w:p>
        </w:tc>
        <w:tc>
          <w:tcPr>
            <w:tcW w:type="dxa" w:w="6860"/>
          </w:tcPr>
          <w:p>
            <w:pPr>
              <w:spacing w:before="0" w:after="0" w:line="276" w:lineRule="auto"/>
            </w:pPr>
            <w:r>
              <w:rPr>
                <w:rFonts w:ascii="Arial" w:hAnsi="Arial" w:cs="Arial" w:eastAsia="Arial"/>
                <w:b/>
                <w:bCs/>
                <w:color w:val="0E1E3A"/>
                <w:sz w:val="18"/>
                <w:szCs w:val="18"/>
              </w:rPr>
              <w:t>Standard Deviation is a measure of risk. It is calculated as any volatility in returns over a period of time. The lower the volatility, the more homogeneous the set of returns.</w:t>
            </w:r>
          </w:p>
        </w:tc>
      </w:tr>
      <w:tr>
        <w:tc>
          <w:tcPr>
            <w:tcW w:type="dxa" w:w="3118"/>
            <w:shd w:val="clear" w:color="auto" w:fill="F3F6FB"/>
          </w:tcPr>
          <w:p>
            <w:pPr>
              <w:spacing w:before="0" w:after="0" w:line="276" w:lineRule="auto"/>
            </w:pPr>
            <w:r>
              <w:rPr>
                <w:rFonts w:ascii="Arial" w:hAnsi="Arial" w:cs="Arial" w:eastAsia="Arial"/>
                <w:color w:val="5A6478"/>
                <w:sz w:val="18"/>
                <w:szCs w:val="18"/>
              </w:rPr>
              <w:t>Sharpe Ratio</w:t>
            </w:r>
          </w:p>
        </w:tc>
        <w:tc>
          <w:tcPr>
            <w:tcW w:type="dxa" w:w="6860"/>
          </w:tcPr>
          <w:p>
            <w:pPr>
              <w:spacing w:before="0" w:after="0" w:line="276" w:lineRule="auto"/>
            </w:pPr>
            <w:r>
              <w:rPr>
                <w:rFonts w:ascii="Arial" w:hAnsi="Arial" w:cs="Arial" w:eastAsia="Arial"/>
                <w:b/>
                <w:bCs/>
                <w:color w:val="0E1E3A"/>
                <w:sz w:val="18"/>
                <w:szCs w:val="18"/>
              </w:rPr>
              <w:t>Sharpe Ratio is a risk-adjusted performance measure. It is calculated as the difference of the Fund Manager excess return over the risk-free rate, divided by the Standard Deviation. The greater a portfolio's Sharpe Ratio, the better its risk-adjusted performance.</w:t>
            </w:r>
          </w:p>
        </w:tc>
      </w:tr>
      <w:tr>
        <w:tc>
          <w:tcPr>
            <w:tcW w:type="dxa" w:w="3118"/>
            <w:shd w:val="clear" w:color="auto" w:fill="F3F6FB"/>
          </w:tcPr>
          <w:p>
            <w:pPr>
              <w:spacing w:before="0" w:after="0" w:line="276" w:lineRule="auto"/>
            </w:pPr>
            <w:r>
              <w:rPr>
                <w:rFonts w:ascii="Arial" w:hAnsi="Arial" w:cs="Arial" w:eastAsia="Arial"/>
                <w:color w:val="5A6478"/>
                <w:sz w:val="18"/>
                <w:szCs w:val="18"/>
              </w:rPr>
              <w:t>Tracking Error</w:t>
            </w:r>
          </w:p>
        </w:tc>
        <w:tc>
          <w:tcPr>
            <w:tcW w:type="dxa" w:w="6860"/>
          </w:tcPr>
          <w:p>
            <w:pPr>
              <w:spacing w:before="0" w:after="0" w:line="276" w:lineRule="auto"/>
            </w:pPr>
            <w:r>
              <w:rPr>
                <w:rFonts w:ascii="Arial" w:hAnsi="Arial" w:cs="Arial" w:eastAsia="Arial"/>
                <w:b/>
                <w:bCs/>
                <w:color w:val="0E1E3A"/>
                <w:sz w:val="18"/>
                <w:szCs w:val="18"/>
              </w:rPr>
              <w:t>Tracking Error is a measure of risks. It is calculated as the Standard Deviation between the Fund Manager's return and the Benchmark's return. The lower the Tracking Error, the lower the Fund Manager deviates from the Benchmark.</w:t>
            </w:r>
          </w:p>
        </w:tc>
      </w:tr>
      <w:tr>
        <w:tc>
          <w:tcPr>
            <w:tcW w:type="dxa" w:w="3118"/>
            <w:shd w:val="clear" w:color="auto" w:fill="F3F6FB"/>
          </w:tcPr>
          <w:p>
            <w:pPr>
              <w:spacing w:before="0" w:after="0" w:line="276" w:lineRule="auto"/>
            </w:pPr>
            <w:r>
              <w:rPr>
                <w:rFonts w:ascii="Arial" w:hAnsi="Arial" w:cs="Arial" w:eastAsia="Arial"/>
                <w:color w:val="5A6478"/>
                <w:sz w:val="18"/>
                <w:szCs w:val="18"/>
              </w:rPr>
              <w:t>Beta</w:t>
            </w:r>
          </w:p>
        </w:tc>
        <w:tc>
          <w:tcPr>
            <w:tcW w:type="dxa" w:w="6860"/>
          </w:tcPr>
          <w:p>
            <w:pPr>
              <w:spacing w:before="0" w:after="0" w:line="276" w:lineRule="auto"/>
            </w:pPr>
            <w:r>
              <w:rPr>
                <w:rFonts w:ascii="Arial" w:hAnsi="Arial" w:cs="Arial" w:eastAsia="Arial"/>
                <w:b/>
                <w:bCs/>
                <w:color w:val="0E1E3A"/>
                <w:sz w:val="18"/>
                <w:szCs w:val="18"/>
              </w:rPr>
              <w:t>Beta is a measure of the average historical sensitivity of the Fund's returns compared to market returns. It is calculated by using the covariance of the Fund and the market on the variance of the market,</w:t>
            </w:r>
          </w:p>
        </w:tc>
      </w:tr>
      <w:tr>
        <w:tc>
          <w:tcPr>
            <w:tcW w:type="dxa" w:w="3118"/>
            <w:shd w:val="clear" w:color="auto" w:fill="F3F6FB"/>
          </w:tcPr>
          <w:p>
            <w:pPr>
              <w:spacing w:before="0" w:after="0" w:line="276" w:lineRule="auto"/>
            </w:pPr>
            <w:r>
              <w:rPr>
                <w:rFonts w:ascii="Arial" w:hAnsi="Arial" w:cs="Arial" w:eastAsia="Arial"/>
                <w:color w:val="5A6478"/>
                <w:sz w:val="18"/>
                <w:szCs w:val="18"/>
              </w:rPr>
              <w:t>Alpha</w:t>
            </w:r>
          </w:p>
        </w:tc>
        <w:tc>
          <w:tcPr>
            <w:tcW w:type="dxa" w:w="6860"/>
          </w:tcPr>
          <w:p>
            <w:pPr>
              <w:spacing w:before="0" w:after="0" w:line="276" w:lineRule="auto"/>
            </w:pPr>
            <w:r>
              <w:rPr>
                <w:rFonts w:ascii="Arial" w:hAnsi="Arial" w:cs="Arial" w:eastAsia="Arial"/>
                <w:b/>
                <w:bCs/>
                <w:color w:val="0E1E3A"/>
                <w:sz w:val="18"/>
                <w:szCs w:val="18"/>
              </w:rPr>
              <w:t>Alpha measures any excess return achieved by the Fund compared to the performance of the index.</w:t>
            </w:r>
          </w:p>
        </w:tc>
      </w:tr>
      <w:tr>
        <w:tc>
          <w:tcPr>
            <w:tcW w:type="dxa" w:w="3118"/>
            <w:shd w:val="clear" w:color="auto" w:fill="F3F6FB"/>
          </w:tcPr>
          <w:p>
            <w:pPr>
              <w:spacing w:before="0" w:after="0" w:line="276" w:lineRule="auto"/>
            </w:pPr>
            <w:r>
              <w:rPr>
                <w:rFonts w:ascii="Arial" w:hAnsi="Arial" w:cs="Arial" w:eastAsia="Arial"/>
                <w:color w:val="5A6478"/>
                <w:sz w:val="18"/>
                <w:szCs w:val="18"/>
              </w:rPr>
              <w:t>Information Ratio</w:t>
            </w:r>
          </w:p>
        </w:tc>
        <w:tc>
          <w:tcPr>
            <w:tcW w:type="dxa" w:w="6860"/>
          </w:tcPr>
          <w:p>
            <w:pPr>
              <w:spacing w:before="0" w:after="0" w:line="276" w:lineRule="auto"/>
            </w:pPr>
            <w:r>
              <w:rPr>
                <w:rFonts w:ascii="Arial" w:hAnsi="Arial" w:cs="Arial" w:eastAsia="Arial"/>
                <w:b/>
                <w:bCs/>
                <w:color w:val="0E1E3A"/>
                <w:sz w:val="18"/>
                <w:szCs w:val="18"/>
              </w:rPr>
              <w:t>Information Ratio is a risk-adjusted performance measure. It is calculated as the active return of the Fund Manager, divided by its tracking error. The higher the Information ratio, the higher the Fund Manager ability to generate excess returns per Unit of excess risk.</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5"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d)</w:t>
      </w:r>
      <w:r>
        <w:rPr>
          <w:rFonts w:ascii="Arial" w:hAnsi="Arial" w:cs="Arial" w:eastAsia="Arial"/>
          <w:b/>
          <w:bCs/>
          <w:color w:val="3B7DD8"/>
          <w:sz w:val="26"/>
          <w:szCs w:val="26"/>
        </w:rPr>
        <w:t xml:space="preserve">  </w:t>
      </w:r>
      <w:r>
        <w:rPr>
          <w:rFonts w:ascii="Arial" w:hAnsi="Arial" w:cs="Arial" w:eastAsia="Arial"/>
          <w:b/>
          <w:bCs/>
          <w:color w:val="12284B"/>
          <w:sz w:val="26"/>
          <w:szCs w:val="26"/>
        </w:rPr>
        <w:t>Fund Manager's Commentary:</w:t>
      </w:r>
    </w:p>
    <w:p>
      <w:pPr>
        <w:spacing w:before="0" w:after="80" w:line="312" w:lineRule="auto"/>
      </w:pPr>
      <w:r>
        <w:rPr>
          <w:rFonts w:ascii="Arial" w:hAnsi="Arial" w:cs="Arial" w:eastAsia="Arial"/>
          <w:color w:val="0E1E3A"/>
          <w:sz w:val="20"/>
          <w:szCs w:val="20"/>
        </w:rPr>
        <w:t>The Fund Manager continues to closely monitor the exit process from its "Prestige Premium Agricultural" income fund with KPMG LLP, which is overseeing the optional exit. The most recent valuation of Prestige Premium Agricultural Income Fund (US $26.84 per Unit) received by the Fund Manager was applied to the most recent valuation of Alkhabeer Diversified Income Traded Fund. Unitholders will be kept informed of any material developments as and when they occur.</w:t>
      </w:r>
    </w:p>
    <w:p>
      <w:pPr>
        <w:spacing w:before="0" w:after="80" w:line="312" w:lineRule="auto"/>
      </w:pPr>
      <w:r>
        <w:rPr>
          <w:rFonts w:ascii="Arial" w:hAnsi="Arial" w:cs="Arial" w:eastAsia="Arial"/>
          <w:color w:val="0E1E3A"/>
          <w:sz w:val="20"/>
          <w:szCs w:val="20"/>
        </w:rPr>
        <w:t>The Fund Manager also acknowledges that the exit process currently in progress by the Fund Manager, involves a number of risks, including:</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Potential delay in the exit time line or generating less than expected returns.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Decrease of the investment value if underlying assets are sold at less than their book value.</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Risk of inability to recover the full value of the invested capital in the event the Fund faces unforeseen additional obligations or expenses after its liquidation.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34"/>
            <wp:cNvGraphicFramePr>
              <a:graphicFrameLocks noChangeAspect="1"/>
            </wp:cNvGraphicFramePr>
            <a:graphic>
              <a:graphicData uri="http://schemas.openxmlformats.org/drawingml/2006/picture">
                <pic:pic>
                  <pic:nvPicPr>
                    <pic:cNvPr id="0" name="ico_8eba3796ad497c7a142d47da7c90fea0.png"/>
                    <pic:cNvPicPr/>
                  </pic:nvPicPr>
                  <pic:blipFill>
                    <a:blip r:embed="rId1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e)</w:t>
      </w:r>
      <w:r>
        <w:rPr>
          <w:rFonts w:ascii="Arial" w:hAnsi="Arial" w:cs="Arial" w:eastAsia="Arial"/>
          <w:b/>
          <w:bCs/>
          <w:color w:val="3B7DD8"/>
          <w:sz w:val="26"/>
          <w:szCs w:val="26"/>
        </w:rPr>
        <w:t xml:space="preserve">  </w:t>
      </w:r>
      <w:r>
        <w:rPr>
          <w:rFonts w:ascii="Arial" w:hAnsi="Arial" w:cs="Arial" w:eastAsia="Arial"/>
          <w:b/>
          <w:bCs/>
          <w:color w:val="12284B"/>
          <w:sz w:val="26"/>
          <w:szCs w:val="26"/>
        </w:rPr>
        <w:t>Contact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Telephone Number</w:t>
            </w:r>
          </w:p>
        </w:tc>
        <w:tc>
          <w:tcPr>
            <w:tcW w:type="dxa" w:w="6860"/>
          </w:tcPr>
          <w:p>
            <w:pPr>
              <w:spacing w:before="0" w:after="0" w:line="276" w:lineRule="auto"/>
            </w:pPr>
            <w:r>
              <w:rPr>
                <w:rFonts w:ascii="Arial" w:hAnsi="Arial" w:cs="Arial" w:eastAsia="Arial"/>
                <w:b/>
                <w:bCs/>
                <w:color w:val="0E1E3A"/>
                <w:sz w:val="18"/>
                <w:szCs w:val="18"/>
              </w:rPr>
              <w:t>+966 12 658 8888</w:t>
            </w:r>
          </w:p>
        </w:tc>
      </w:tr>
      <w:tr>
        <w:tc>
          <w:tcPr>
            <w:tcW w:type="dxa" w:w="3118"/>
            <w:shd w:val="clear" w:color="auto" w:fill="F3F6FB"/>
          </w:tcPr>
          <w:p>
            <w:pPr>
              <w:spacing w:before="0" w:after="0" w:line="276" w:lineRule="auto"/>
            </w:pPr>
            <w:r>
              <w:rPr>
                <w:rFonts w:ascii="Arial" w:hAnsi="Arial" w:cs="Arial" w:eastAsia="Arial"/>
                <w:color w:val="5A6478"/>
                <w:sz w:val="18"/>
                <w:szCs w:val="18"/>
              </w:rPr>
              <w:t>Website</w:t>
            </w:r>
          </w:p>
        </w:tc>
        <w:tc>
          <w:tcPr>
            <w:tcW w:type="dxa" w:w="6860"/>
          </w:tcPr>
          <w:p>
            <w:pPr>
              <w:spacing w:before="0" w:after="0" w:line="276" w:lineRule="auto"/>
            </w:pPr>
            <w:r>
              <w:rPr>
                <w:rFonts w:ascii="Arial" w:hAnsi="Arial" w:cs="Arial" w:eastAsia="Arial"/>
                <w:b/>
                <w:bCs/>
                <w:color w:val="0E1E3A"/>
                <w:sz w:val="18"/>
                <w:szCs w:val="18"/>
              </w:rPr>
              <w:t>www.alkhabeer.com</w:t>
            </w:r>
          </w:p>
        </w:tc>
      </w:tr>
      <w:tr>
        <w:tc>
          <w:tcPr>
            <w:tcW w:type="dxa" w:w="3118"/>
            <w:shd w:val="clear" w:color="auto" w:fill="F3F6FB"/>
          </w:tcPr>
          <w:p>
            <w:pPr>
              <w:spacing w:before="0" w:after="0" w:line="276" w:lineRule="auto"/>
            </w:pPr>
            <w:r>
              <w:rPr>
                <w:rFonts w:ascii="Arial" w:hAnsi="Arial" w:cs="Arial" w:eastAsia="Arial"/>
                <w:color w:val="5A6478"/>
                <w:sz w:val="18"/>
                <w:szCs w:val="18"/>
              </w:rPr>
              <w:t>Email</w:t>
            </w:r>
          </w:p>
        </w:tc>
        <w:tc>
          <w:tcPr>
            <w:tcW w:type="dxa" w:w="6860"/>
          </w:tcPr>
          <w:p>
            <w:pPr>
              <w:spacing w:before="0" w:after="0" w:line="276" w:lineRule="auto"/>
            </w:pPr>
            <w:r>
              <w:rPr>
                <w:rFonts w:ascii="Arial" w:hAnsi="Arial" w:cs="Arial" w:eastAsia="Arial"/>
                <w:b/>
                <w:bCs/>
                <w:color w:val="0E1E3A"/>
                <w:sz w:val="18"/>
                <w:szCs w:val="18"/>
              </w:rPr>
              <w:t>info@alkhabeer.com</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f)</w:t>
      </w:r>
      <w:r>
        <w:rPr>
          <w:rFonts w:ascii="Arial" w:hAnsi="Arial" w:cs="Arial" w:eastAsia="Arial"/>
          <w:b/>
          <w:bCs/>
          <w:color w:val="3B7DD8"/>
          <w:sz w:val="26"/>
          <w:szCs w:val="26"/>
        </w:rPr>
        <w:t xml:space="preserve">  </w:t>
      </w:r>
      <w:r>
        <w:rPr>
          <w:rFonts w:ascii="Arial" w:hAnsi="Arial" w:cs="Arial" w:eastAsia="Arial"/>
          <w:b/>
          <w:bCs/>
          <w:color w:val="12284B"/>
          <w:sz w:val="26"/>
          <w:szCs w:val="26"/>
        </w:rPr>
        <w:t>Price Information as at the End of the Reporting Quarter (December 2025):</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Q4 (December 2025)</w:t>
            </w:r>
          </w:p>
        </w:tc>
        <w:tc>
          <w:tcPr>
            <w:tcW w:type="dxa" w:w="6860"/>
          </w:tcPr>
          <w:p>
            <w:pPr>
              <w:spacing w:before="0" w:after="0" w:line="276" w:lineRule="auto"/>
            </w:pPr>
            <w:r>
              <w:rPr>
                <w:rFonts w:ascii="Arial" w:hAnsi="Arial" w:cs="Arial" w:eastAsia="Arial"/>
                <w:b/>
                <w:bCs/>
                <w:color w:val="0E1E3A"/>
                <w:sz w:val="18"/>
                <w:szCs w:val="18"/>
              </w:rPr>
              <w:t>SAR 5.32</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Previous Quarter</w:t>
            </w:r>
          </w:p>
        </w:tc>
        <w:tc>
          <w:tcPr>
            <w:tcW w:type="dxa" w:w="6860"/>
          </w:tcPr>
          <w:p>
            <w:pPr>
              <w:spacing w:before="0" w:after="0" w:line="276" w:lineRule="auto"/>
            </w:pPr>
            <w:r>
              <w:rPr>
                <w:rFonts w:ascii="Arial" w:hAnsi="Arial" w:cs="Arial" w:eastAsia="Arial"/>
                <w:b/>
                <w:bCs/>
                <w:color w:val="0E1E3A"/>
                <w:sz w:val="18"/>
                <w:szCs w:val="18"/>
              </w:rPr>
              <w:t>-4.49%</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Funds</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Total Fund Units</w:t>
            </w:r>
          </w:p>
        </w:tc>
        <w:tc>
          <w:tcPr>
            <w:tcW w:type="dxa" w:w="6860"/>
          </w:tcPr>
          <w:p>
            <w:pPr>
              <w:spacing w:before="0" w:after="0" w:line="276" w:lineRule="auto"/>
            </w:pPr>
            <w:r>
              <w:rPr>
                <w:rFonts w:ascii="Arial" w:hAnsi="Arial" w:cs="Arial" w:eastAsia="Arial"/>
                <w:b/>
                <w:bCs/>
                <w:color w:val="0E1E3A"/>
                <w:sz w:val="18"/>
                <w:szCs w:val="18"/>
              </w:rPr>
              <w:t>47,281,470 Units</w:t>
            </w:r>
          </w:p>
        </w:tc>
      </w:tr>
      <w:tr>
        <w:tc>
          <w:tcPr>
            <w:tcW w:type="dxa" w:w="3118"/>
            <w:shd w:val="clear" w:color="auto" w:fill="F3F6FB"/>
          </w:tcPr>
          <w:p>
            <w:pPr>
              <w:spacing w:before="0" w:after="0" w:line="276" w:lineRule="auto"/>
            </w:pPr>
            <w:r>
              <w:rPr>
                <w:rFonts w:ascii="Arial" w:hAnsi="Arial" w:cs="Arial" w:eastAsia="Arial"/>
                <w:color w:val="5A6478"/>
                <w:sz w:val="18"/>
                <w:szCs w:val="18"/>
              </w:rPr>
              <w:t>Fund's Net Asset Value</w:t>
            </w:r>
          </w:p>
        </w:tc>
        <w:tc>
          <w:tcPr>
            <w:tcW w:type="dxa" w:w="6860"/>
          </w:tcPr>
          <w:p>
            <w:pPr>
              <w:spacing w:before="0" w:after="0" w:line="276" w:lineRule="auto"/>
            </w:pPr>
            <w:r>
              <w:rPr>
                <w:rFonts w:ascii="Arial" w:hAnsi="Arial" w:cs="Arial" w:eastAsia="Arial"/>
                <w:b/>
                <w:bCs/>
                <w:color w:val="0E1E3A"/>
                <w:sz w:val="18"/>
                <w:szCs w:val="18"/>
              </w:rPr>
              <w:t>SAR 429,495,518</w:t>
            </w:r>
          </w:p>
        </w:tc>
      </w:tr>
      <w:tr>
        <w:tc>
          <w:tcPr>
            <w:tcW w:type="dxa" w:w="3118"/>
            <w:shd w:val="clear" w:color="auto" w:fill="F3F6FB"/>
          </w:tcPr>
          <w:p>
            <w:pPr>
              <w:spacing w:before="0" w:after="0" w:line="276" w:lineRule="auto"/>
            </w:pPr>
            <w:r>
              <w:rPr>
                <w:rFonts w:ascii="Arial" w:hAnsi="Arial" w:cs="Arial" w:eastAsia="Arial"/>
                <w:color w:val="5A6478"/>
                <w:sz w:val="18"/>
                <w:szCs w:val="18"/>
              </w:rPr>
              <w:t>Price/Equity Ratio (P/E)</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8"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g)</w:t>
      </w:r>
      <w:r>
        <w:rPr>
          <w:rFonts w:ascii="Arial" w:hAnsi="Arial" w:cs="Arial" w:eastAsia="Arial"/>
          <w:b/>
          <w:bCs/>
          <w:color w:val="3B7DD8"/>
          <w:sz w:val="26"/>
          <w:szCs w:val="26"/>
        </w:rPr>
        <w:t xml:space="preserve">  </w:t>
      </w:r>
      <w:r>
        <w:rPr>
          <w:rFonts w:ascii="Arial" w:hAnsi="Arial" w:cs="Arial" w:eastAsia="Arial"/>
          <w:b/>
          <w:bCs/>
          <w:color w:val="12284B"/>
          <w:sz w:val="26"/>
          <w:szCs w:val="26"/>
        </w:rPr>
        <w:t>Fund Information as at the End of Q4 (December 2025):</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r>
              <w:rPr>
                <w:rFonts w:ascii="Arial" w:hAnsi="Arial" w:cs="Arial" w:eastAsia="Arial"/>
                <w:b/>
                <w:bCs/>
                <w:color w:val="FFFFFF"/>
                <w:sz w:val="17"/>
                <w:szCs w:val="17"/>
              </w:rPr>
              <w:t>Item</w:t>
            </w:r>
          </w:p>
        </w:tc>
        <w:tc>
          <w:tcPr>
            <w:tcW w:type="dxa" w:w="3326"/>
            <w:shd w:val="clear" w:color="auto" w:fill="12284B"/>
          </w:tcPr>
          <w:p>
            <w:pPr>
              <w:spacing w:before="0" w:after="0" w:line="264" w:lineRule="auto"/>
            </w:pPr>
            <w:r>
              <w:rPr>
                <w:rFonts w:ascii="Arial" w:hAnsi="Arial" w:cs="Arial" w:eastAsia="Arial"/>
                <w:b/>
                <w:bCs/>
                <w:color w:val="FFFFFF"/>
                <w:sz w:val="17"/>
                <w:szCs w:val="17"/>
              </w:rPr>
              <w:t>Saudi Riyal</w:t>
            </w:r>
          </w:p>
        </w:tc>
        <w:tc>
          <w:tcPr>
            <w:tcW w:type="dxa" w:w="3326"/>
            <w:shd w:val="clear" w:color="auto" w:fill="12284B"/>
          </w:tcPr>
          <w:p>
            <w:pPr>
              <w:spacing w:before="0" w:after="0" w:line="264" w:lineRule="auto"/>
            </w:pPr>
            <w:r>
              <w:rPr>
                <w:rFonts w:ascii="Arial" w:hAnsi="Arial" w:cs="Arial" w:eastAsia="Arial"/>
                <w:b/>
                <w:bCs/>
                <w:color w:val="FFFFFF"/>
                <w:sz w:val="17"/>
                <w:szCs w:val="17"/>
              </w:rPr>
              <w:t>%</w:t>
            </w:r>
          </w:p>
        </w:tc>
      </w:tr>
      <w:tr>
        <w:tc>
          <w:tcPr>
            <w:tcW w:type="dxa" w:w="3326"/>
          </w:tcPr>
          <w:p>
            <w:pPr>
              <w:spacing w:before="0" w:after="0" w:line="264" w:lineRule="auto"/>
            </w:pPr>
            <w:r>
              <w:rPr>
                <w:rFonts w:ascii="Arial" w:hAnsi="Arial" w:cs="Arial" w:eastAsia="Arial"/>
                <w:color w:val="0E1E3A"/>
                <w:sz w:val="17"/>
                <w:szCs w:val="17"/>
              </w:rPr>
              <w:t>Total Expense Ratio (TER) to Fund's Average Net Asset Value</w:t>
            </w:r>
          </w:p>
        </w:tc>
        <w:tc>
          <w:tcPr>
            <w:tcW w:type="dxa" w:w="3326"/>
          </w:tcPr>
          <w:p>
            <w:pPr>
              <w:spacing w:before="0" w:after="0" w:line="264" w:lineRule="auto"/>
            </w:pPr>
            <w:r>
              <w:rPr>
                <w:rFonts w:ascii="Arial" w:hAnsi="Arial" w:cs="Arial" w:eastAsia="Arial"/>
                <w:color w:val="0E1E3A"/>
                <w:sz w:val="17"/>
                <w:szCs w:val="17"/>
              </w:rPr>
              <w:t>SAR 1,879,804</w:t>
            </w:r>
          </w:p>
        </w:tc>
        <w:tc>
          <w:tcPr>
            <w:tcW w:type="dxa" w:w="3326"/>
          </w:tcPr>
          <w:p>
            <w:pPr>
              <w:spacing w:before="0" w:after="0" w:line="264" w:lineRule="auto"/>
            </w:pPr>
            <w:r>
              <w:rPr>
                <w:rFonts w:ascii="Arial" w:hAnsi="Arial" w:cs="Arial" w:eastAsia="Arial"/>
                <w:color w:val="0E1E3A"/>
                <w:sz w:val="17"/>
                <w:szCs w:val="17"/>
              </w:rPr>
              <w:t>0.44%</w:t>
            </w:r>
          </w:p>
        </w:tc>
      </w:tr>
      <w:tr>
        <w:tc>
          <w:tcPr>
            <w:tcW w:type="dxa" w:w="3326"/>
          </w:tcPr>
          <w:p>
            <w:pPr>
              <w:spacing w:before="0" w:after="0" w:line="264" w:lineRule="auto"/>
            </w:pPr>
            <w:r>
              <w:rPr>
                <w:rFonts w:ascii="Arial" w:hAnsi="Arial" w:cs="Arial" w:eastAsia="Arial"/>
                <w:color w:val="0E1E3A"/>
                <w:sz w:val="17"/>
                <w:szCs w:val="17"/>
              </w:rPr>
              <w:t>Ratio of Loans to Fund's Total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Percentage of Dealing Expenses to Fund's Average Net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Percentage of Fund Manager's Investment to Fund's Net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Distributed Dividends from Fund's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h)</w:t>
      </w:r>
      <w:r>
        <w:rPr>
          <w:rFonts w:ascii="Arial" w:hAnsi="Arial" w:cs="Arial" w:eastAsia="Arial"/>
          <w:b/>
          <w:bCs/>
          <w:color w:val="3B7DD8"/>
          <w:sz w:val="26"/>
          <w:szCs w:val="26"/>
        </w:rPr>
        <w:t xml:space="preserve">  </w:t>
      </w:r>
      <w:r>
        <w:rPr>
          <w:rFonts w:ascii="Arial" w:hAnsi="Arial" w:cs="Arial" w:eastAsia="Arial"/>
          <w:b/>
          <w:bCs/>
          <w:color w:val="12284B"/>
          <w:sz w:val="26"/>
          <w:szCs w:val="26"/>
        </w:rPr>
        <w:t>Information on 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Freehold</w:t>
            </w:r>
          </w:p>
        </w:tc>
        <w:tc>
          <w:tcPr>
            <w:tcW w:type="dxa" w:w="6860"/>
          </w:tcPr>
          <w:p>
            <w:pPr>
              <w:spacing w:before="0" w:after="0" w:line="276" w:lineRule="auto"/>
            </w:pPr>
            <w:r>
              <w:rPr>
                <w:rFonts w:ascii="Arial" w:hAnsi="Arial" w:cs="Arial" w:eastAsia="Arial"/>
                <w:b/>
                <w:bCs/>
                <w:color w:val="0E1E3A"/>
                <w:sz w:val="18"/>
                <w:szCs w:val="18"/>
              </w:rPr>
              <w:t>100%</w:t>
            </w:r>
          </w:p>
        </w:tc>
      </w:tr>
      <w:tr>
        <w:tc>
          <w:tcPr>
            <w:tcW w:type="dxa" w:w="3118"/>
            <w:shd w:val="clear" w:color="auto" w:fill="F3F6FB"/>
          </w:tcPr>
          <w:p>
            <w:pPr>
              <w:spacing w:before="0" w:after="0" w:line="276" w:lineRule="auto"/>
            </w:pPr>
            <w:r>
              <w:rPr>
                <w:rFonts w:ascii="Arial" w:hAnsi="Arial" w:cs="Arial" w:eastAsia="Arial"/>
                <w:color w:val="5A6478"/>
                <w:sz w:val="18"/>
                <w:szCs w:val="18"/>
              </w:rPr>
              <w:t>Leasehold</w:t>
            </w:r>
          </w:p>
        </w:tc>
        <w:tc>
          <w:tcPr>
            <w:tcW w:type="dxa" w:w="6860"/>
          </w:tcPr>
          <w:p>
            <w:pPr>
              <w:spacing w:before="0" w:after="0" w:line="276" w:lineRule="auto"/>
            </w:pPr>
            <w:r>
              <w:rPr>
                <w:rFonts w:ascii="Arial" w:hAnsi="Arial" w:cs="Arial" w:eastAsia="Arial"/>
                <w:b/>
                <w:bCs/>
                <w:color w:val="0E1E3A"/>
                <w:sz w:val="18"/>
                <w:szCs w:val="18"/>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38"/>
            <wp:cNvGraphicFramePr>
              <a:graphicFrameLocks noChangeAspect="1"/>
            </wp:cNvGraphicFramePr>
            <a:graphic>
              <a:graphicData uri="http://schemas.openxmlformats.org/drawingml/2006/picture">
                <pic:pic>
                  <pic:nvPicPr>
                    <pic:cNvPr id="0" name="ico_31799530e5dd3dc5b4ca7f2d37945432.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i)</w:t>
      </w:r>
      <w:r>
        <w:rPr>
          <w:rFonts w:ascii="Arial" w:hAnsi="Arial" w:cs="Arial" w:eastAsia="Arial"/>
          <w:b/>
          <w:bCs/>
          <w:color w:val="3B7DD8"/>
          <w:sz w:val="26"/>
          <w:szCs w:val="26"/>
        </w:rP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0E1E3A"/>
          <w:sz w:val="20"/>
          <w:szCs w:val="20"/>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j)</w:t>
      </w:r>
      <w:r>
        <w:rPr>
          <w:rFonts w:ascii="Arial" w:hAnsi="Arial" w:cs="Arial" w:eastAsia="Arial"/>
          <w:b/>
          <w:bCs/>
          <w:color w:val="3B7DD8"/>
          <w:sz w:val="26"/>
          <w:szCs w:val="26"/>
        </w:rPr>
        <w:t xml:space="preserve">  </w:t>
      </w:r>
      <w:r>
        <w:rPr>
          <w:rFonts w:ascii="Arial" w:hAnsi="Arial" w:cs="Arial" w:eastAsia="Arial"/>
          <w:b/>
          <w:bCs/>
          <w:color w:val="12284B"/>
          <w:sz w:val="26"/>
          <w:szCs w:val="26"/>
        </w:rPr>
        <w:t>Graph Showing the Fund's Top Ten Investments:</w:t>
      </w:r>
    </w:p>
    <w:p>
      <w:pPr>
        <w:spacing w:before="0" w:after="80" w:line="240" w:lineRule="auto"/>
        <w:jc w:val="center"/>
      </w:pPr>
      <w:r>
        <w:drawing>
          <wp:inline xmlns:a="http://schemas.openxmlformats.org/drawingml/2006/main" xmlns:pic="http://schemas.openxmlformats.org/drawingml/2006/picture">
            <wp:extent cx="6336000" cy="2549622"/>
            <wp:docPr id="12" name="Picture 9040"/>
            <wp:cNvGraphicFramePr>
              <a:graphicFrameLocks noChangeAspect="1"/>
            </wp:cNvGraphicFramePr>
            <a:graphic>
              <a:graphicData uri="http://schemas.openxmlformats.org/drawingml/2006/picture">
                <pic:pic>
                  <pic:nvPicPr>
                    <pic:cNvPr id="0" name="x2.j.jpg"/>
                    <pic:cNvPicPr/>
                  </pic:nvPicPr>
                  <pic:blipFill>
                    <a:blip r:embed="rId18"/>
                    <a:stretch>
                      <a:fillRect/>
                    </a:stretch>
                  </pic:blipFill>
                  <pic:spPr>
                    <a:xfrm>
                      <a:off x="0" y="0"/>
                      <a:ext cx="6336000" cy="2549622"/>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41"/>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k)</w:t>
      </w:r>
      <w:r>
        <w:rPr>
          <w:rFonts w:ascii="Arial" w:hAnsi="Arial" w:cs="Arial" w:eastAsia="Arial"/>
          <w:b/>
          <w:bCs/>
          <w:color w:val="3B7DD8"/>
          <w:sz w:val="26"/>
          <w:szCs w:val="26"/>
        </w:rPr>
        <w:t xml:space="preserve">  </w:t>
      </w:r>
      <w:r>
        <w:rPr>
          <w:rFonts w:ascii="Arial" w:hAnsi="Arial" w:cs="Arial" w:eastAsia="Arial"/>
          <w:b/>
          <w:bCs/>
          <w:color w:val="12284B"/>
          <w:sz w:val="26"/>
          <w:szCs w:val="26"/>
        </w:rPr>
        <w:t>Statement of Dividends Distributed to Unitholders (if any), as follows: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Q4</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 Receiving Dividends in Q4</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Distributed Dividends per Unit in Q4</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Distributions to Fund's Net Asset Value</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Entitlement to Cash Distributions Paid during the Reporting Quarter</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l)</w:t>
      </w:r>
      <w:r>
        <w:rPr>
          <w:rFonts w:ascii="Arial" w:hAnsi="Arial" w:cs="Arial" w:eastAsia="Arial"/>
          <w:b/>
          <w:bCs/>
          <w:color w:val="3B7DD8"/>
          <w:sz w:val="26"/>
          <w:szCs w:val="26"/>
        </w:rPr>
        <w:t xml:space="preserve">  </w:t>
      </w:r>
      <w:r>
        <w:rPr>
          <w:rFonts w:ascii="Arial" w:hAnsi="Arial" w:cs="Arial" w:eastAsia="Arial"/>
          <w:b/>
          <w:bCs/>
          <w:color w:val="12284B"/>
          <w:sz w:val="26"/>
          <w:szCs w:val="26"/>
        </w:rPr>
        <w:t>Credit Rating of Underlying Debt Instruments of the Fund's Top Ten Investments, as follows: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Credit Rating of the Debt Instrument</w:t>
            </w:r>
          </w:p>
        </w:tc>
        <w:tc>
          <w:tcPr>
            <w:tcW w:type="dxa" w:w="6860"/>
          </w:tcPr>
          <w:p>
            <w:pPr>
              <w:spacing w:before="0" w:after="0" w:line="276" w:lineRule="auto"/>
            </w:pPr>
            <w:r>
              <w:rPr>
                <w:rFonts w:ascii="Arial" w:hAnsi="Arial" w:cs="Arial" w:eastAsia="Arial"/>
                <w:b/>
                <w:bCs/>
                <w:color w:val="0E1E3A"/>
                <w:sz w:val="18"/>
                <w:szCs w:val="18"/>
              </w:rPr>
              <w:t>Aa</w:t>
            </w:r>
            <w:r>
              <w:rPr>
                <w:rFonts w:ascii="Arial" w:hAnsi="Arial" w:cs="Arial" w:eastAsia="Arial"/>
                <w:b/>
                <w:bCs/>
                <w:color w:val="0E1E3A"/>
                <w:sz w:val="18"/>
                <w:szCs w:val="18"/>
              </w:rPr>
              <w:t>3</w:t>
            </w:r>
          </w:p>
        </w:tc>
      </w:tr>
      <w:tr>
        <w:tc>
          <w:tcPr>
            <w:tcW w:type="dxa" w:w="3118"/>
            <w:shd w:val="clear" w:color="auto" w:fill="F3F6FB"/>
          </w:tcPr>
          <w:p>
            <w:pPr>
              <w:spacing w:before="0" w:after="0" w:line="276" w:lineRule="auto"/>
            </w:pPr>
            <w:r>
              <w:rPr>
                <w:rFonts w:ascii="Arial" w:hAnsi="Arial" w:cs="Arial" w:eastAsia="Arial"/>
                <w:color w:val="5A6478"/>
                <w:sz w:val="18"/>
                <w:szCs w:val="18"/>
              </w:rPr>
              <w:t>Credit Rating of the Issuer of the Debt Instrument</w:t>
            </w:r>
          </w:p>
        </w:tc>
        <w:tc>
          <w:tcPr>
            <w:tcW w:type="dxa" w:w="6860"/>
          </w:tcPr>
          <w:p>
            <w:pPr>
              <w:spacing w:before="0" w:after="0" w:line="276" w:lineRule="auto"/>
            </w:pPr>
            <w:r>
              <w:rPr>
                <w:rFonts w:ascii="Arial" w:hAnsi="Arial" w:cs="Arial" w:eastAsia="Arial"/>
                <w:b/>
                <w:bCs/>
                <w:color w:val="0E1E3A"/>
                <w:sz w:val="18"/>
                <w:szCs w:val="18"/>
              </w:rPr>
              <w:t>Aa</w:t>
            </w:r>
            <w:r>
              <w:rPr>
                <w:rFonts w:ascii="Arial" w:hAnsi="Arial" w:cs="Arial" w:eastAsia="Arial"/>
                <w:b/>
                <w:bCs/>
                <w:color w:val="0E1E3A"/>
                <w:sz w:val="18"/>
                <w:szCs w:val="18"/>
              </w:rPr>
              <w:t>3</w:t>
            </w:r>
          </w:p>
        </w:tc>
      </w:tr>
      <w:tr>
        <w:tc>
          <w:tcPr>
            <w:tcW w:type="dxa" w:w="3118"/>
            <w:shd w:val="clear" w:color="auto" w:fill="F3F6FB"/>
          </w:tcPr>
          <w:p>
            <w:pPr>
              <w:spacing w:before="0" w:after="0" w:line="276" w:lineRule="auto"/>
            </w:pPr>
            <w:r>
              <w:rPr>
                <w:rFonts w:ascii="Arial" w:hAnsi="Arial" w:cs="Arial" w:eastAsia="Arial"/>
                <w:color w:val="5A6478"/>
                <w:sz w:val="18"/>
                <w:szCs w:val="18"/>
              </w:rPr>
              <w:t>Name of the Credit Rating Agency</w:t>
            </w:r>
          </w:p>
        </w:tc>
        <w:tc>
          <w:tcPr>
            <w:tcW w:type="dxa" w:w="6860"/>
          </w:tcPr>
          <w:p>
            <w:pPr>
              <w:spacing w:before="0" w:after="0" w:line="276" w:lineRule="auto"/>
            </w:pPr>
            <w:r>
              <w:rPr>
                <w:rFonts w:ascii="Arial" w:hAnsi="Arial" w:cs="Arial" w:eastAsia="Arial"/>
                <w:b/>
                <w:bCs/>
                <w:color w:val="0E1E3A"/>
                <w:sz w:val="18"/>
                <w:szCs w:val="18"/>
              </w:rPr>
              <w:t>Moody’s</w:t>
            </w:r>
          </w:p>
        </w:tc>
      </w:tr>
      <w:tr>
        <w:tc>
          <w:tcPr>
            <w:tcW w:type="dxa" w:w="3118"/>
            <w:shd w:val="clear" w:color="auto" w:fill="F3F6FB"/>
          </w:tcPr>
          <w:p>
            <w:pPr>
              <w:spacing w:before="0" w:after="0" w:line="276" w:lineRule="auto"/>
            </w:pPr>
            <w:r>
              <w:rPr>
                <w:rFonts w:ascii="Arial" w:hAnsi="Arial" w:cs="Arial" w:eastAsia="Arial"/>
                <w:color w:val="5A6478"/>
                <w:sz w:val="18"/>
                <w:szCs w:val="18"/>
              </w:rPr>
              <w:t>Date of the Credit Rating</w:t>
            </w:r>
          </w:p>
        </w:tc>
        <w:tc>
          <w:tcPr>
            <w:tcW w:type="dxa" w:w="6860"/>
          </w:tcPr>
          <w:p>
            <w:pPr>
              <w:spacing w:before="0" w:after="0" w:line="276" w:lineRule="auto"/>
            </w:pPr>
            <w:r>
              <w:rPr>
                <w:rFonts w:ascii="Arial" w:hAnsi="Arial" w:cs="Arial" w:eastAsia="Arial"/>
                <w:b/>
                <w:bCs/>
                <w:color w:val="0E1E3A"/>
                <w:sz w:val="18"/>
                <w:szCs w:val="18"/>
              </w:rPr>
              <w:t>27 November 2024</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43"/>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m)</w:t>
      </w:r>
      <w:r>
        <w:rPr>
          <w:rFonts w:ascii="Arial" w:hAnsi="Arial" w:cs="Arial" w:eastAsia="Arial"/>
          <w:b/>
          <w:bCs/>
          <w:color w:val="3B7DD8"/>
          <w:sz w:val="26"/>
          <w:szCs w:val="26"/>
        </w:rPr>
        <w:t xml:space="preserve">  </w:t>
      </w:r>
      <w:r>
        <w:rPr>
          <w:rFonts w:ascii="Arial" w:hAnsi="Arial" w:cs="Arial" w:eastAsia="Arial"/>
          <w:b/>
          <w:bCs/>
          <w:color w:val="12284B"/>
          <w:sz w:val="26"/>
          <w:szCs w:val="26"/>
        </w:rPr>
        <w:t>Graph Showing the Distribution of Fund Assets (by Sector/Geography):</w:t>
      </w:r>
    </w:p>
    <w:p>
      <w:pPr>
        <w:spacing w:before="0" w:after="80" w:line="240" w:lineRule="auto"/>
        <w:jc w:val="center"/>
      </w:pPr>
      <w:r>
        <w:drawing>
          <wp:inline xmlns:a="http://schemas.openxmlformats.org/drawingml/2006/main" xmlns:pic="http://schemas.openxmlformats.org/drawingml/2006/picture">
            <wp:extent cx="6336000" cy="1836108"/>
            <wp:docPr id="16" name="Picture 9044"/>
            <wp:cNvGraphicFramePr>
              <a:graphicFrameLocks noChangeAspect="1"/>
            </wp:cNvGraphicFramePr>
            <a:graphic>
              <a:graphicData uri="http://schemas.openxmlformats.org/drawingml/2006/picture">
                <pic:pic>
                  <pic:nvPicPr>
                    <pic:cNvPr id="0" name="x3.j.jpg"/>
                    <pic:cNvPicPr/>
                  </pic:nvPicPr>
                  <pic:blipFill>
                    <a:blip r:embed="rId20"/>
                    <a:stretch>
                      <a:fillRect/>
                    </a:stretch>
                  </pic:blipFill>
                  <pic:spPr>
                    <a:xfrm>
                      <a:off x="0" y="0"/>
                      <a:ext cx="6336000" cy="1836108"/>
                    </a:xfrm>
                    <a:prstGeom prst="rect"/>
                  </pic:spPr>
                </pic:pic>
              </a:graphicData>
            </a:graphic>
          </wp:inline>
        </w:drawing>
      </w:r>
    </w:p>
    <w:p>
      <w:pPr>
        <w:spacing w:before="0" w:after="80" w:line="240" w:lineRule="auto"/>
        <w:jc w:val="center"/>
      </w:pPr>
      <w:r>
        <w:drawing>
          <wp:inline xmlns:a="http://schemas.openxmlformats.org/drawingml/2006/main" xmlns:pic="http://schemas.openxmlformats.org/drawingml/2006/picture">
            <wp:extent cx="6336000" cy="1836108"/>
            <wp:docPr id="17" name="Picture 9045"/>
            <wp:cNvGraphicFramePr>
              <a:graphicFrameLocks noChangeAspect="1"/>
            </wp:cNvGraphicFramePr>
            <a:graphic>
              <a:graphicData uri="http://schemas.openxmlformats.org/drawingml/2006/picture">
                <pic:pic>
                  <pic:nvPicPr>
                    <pic:cNvPr id="0" name="x4.j.jpg"/>
                    <pic:cNvPicPr/>
                  </pic:nvPicPr>
                  <pic:blipFill>
                    <a:blip r:embed="rId21"/>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 Average investment term of the Fund is 3-4 years.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46"/>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n)</w:t>
      </w:r>
      <w:r>
        <w:rPr>
          <w:rFonts w:ascii="Arial" w:hAnsi="Arial" w:cs="Arial" w:eastAsia="Arial"/>
          <w:b/>
          <w:bCs/>
          <w:color w:val="3B7DD8"/>
          <w:sz w:val="26"/>
          <w:szCs w:val="26"/>
        </w:rP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(End of Q4)</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 **</w:t>
            </w:r>
          </w:p>
        </w:tc>
        <w:tc>
          <w:tcPr>
            <w:tcW w:type="dxa" w:w="1663"/>
            <w:shd w:val="clear" w:color="auto" w:fill="12284B"/>
          </w:tcPr>
          <w:p>
            <w:pPr>
              <w:spacing w:before="0" w:after="0" w:line="264" w:lineRule="auto"/>
            </w:pPr>
            <w:r>
              <w:rPr>
                <w:rFonts w:ascii="Arial" w:hAnsi="Arial" w:cs="Arial" w:eastAsia="Arial"/>
                <w:b/>
                <w:bCs/>
                <w:color w:val="FFFFFF"/>
                <w:sz w:val="17"/>
                <w:szCs w:val="17"/>
              </w:rPr>
              <w:t>One Year ***</w:t>
            </w:r>
          </w:p>
        </w:tc>
        <w:tc>
          <w:tcPr>
            <w:tcW w:type="dxa" w:w="1663"/>
            <w:shd w:val="clear" w:color="auto" w:fill="12284B"/>
          </w:tcPr>
          <w:p>
            <w:pPr>
              <w:spacing w:before="0" w:after="0" w:line="264" w:lineRule="auto"/>
            </w:pPr>
            <w:r>
              <w:rPr>
                <w:rFonts w:ascii="Arial" w:hAnsi="Arial" w:cs="Arial" w:eastAsia="Arial"/>
                <w:b/>
                <w:bCs/>
                <w:color w:val="FFFFFF"/>
                <w:sz w:val="17"/>
                <w:szCs w:val="17"/>
              </w:rPr>
              <w:t>3 Years ****</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 to Net Asset Value per Unit (Fund Performance) *</w:t>
            </w:r>
          </w:p>
        </w:tc>
        <w:tc>
          <w:tcPr>
            <w:tcW w:type="dxa" w:w="1663"/>
          </w:tcPr>
          <w:p>
            <w:pPr>
              <w:spacing w:before="0" w:after="0" w:line="264" w:lineRule="auto"/>
            </w:pPr>
            <w:r>
              <w:rPr>
                <w:rFonts w:ascii="Arial" w:hAnsi="Arial" w:cs="Arial" w:eastAsia="Arial"/>
                <w:color w:val="0E1E3A"/>
                <w:sz w:val="17"/>
                <w:szCs w:val="17"/>
              </w:rPr>
              <w:t>0.99%</w:t>
            </w:r>
          </w:p>
        </w:tc>
        <w:tc>
          <w:tcPr>
            <w:tcW w:type="dxa" w:w="1663"/>
          </w:tcPr>
          <w:p>
            <w:pPr>
              <w:spacing w:before="0" w:after="0" w:line="264" w:lineRule="auto"/>
            </w:pPr>
            <w:r>
              <w:rPr>
                <w:rFonts w:ascii="Arial" w:hAnsi="Arial" w:cs="Arial" w:eastAsia="Arial"/>
                <w:color w:val="0E1E3A"/>
                <w:sz w:val="17"/>
                <w:szCs w:val="17"/>
              </w:rPr>
              <w:t>-1.05%</w:t>
            </w:r>
          </w:p>
        </w:tc>
        <w:tc>
          <w:tcPr>
            <w:tcW w:type="dxa" w:w="1663"/>
          </w:tcPr>
          <w:p>
            <w:pPr>
              <w:spacing w:before="0" w:after="0" w:line="264" w:lineRule="auto"/>
            </w:pPr>
            <w:r>
              <w:rPr>
                <w:rFonts w:ascii="Arial" w:hAnsi="Arial" w:cs="Arial" w:eastAsia="Arial"/>
                <w:color w:val="0E1E3A"/>
                <w:sz w:val="17"/>
                <w:szCs w:val="17"/>
              </w:rPr>
              <w:t>-1.05%</w:t>
            </w:r>
          </w:p>
        </w:tc>
        <w:tc>
          <w:tcPr>
            <w:tcW w:type="dxa" w:w="1663"/>
          </w:tcPr>
          <w:p>
            <w:pPr>
              <w:spacing w:before="0" w:after="0" w:line="264" w:lineRule="auto"/>
            </w:pPr>
            <w:r>
              <w:rPr>
                <w:rFonts w:ascii="Arial" w:hAnsi="Arial" w:cs="Arial" w:eastAsia="Arial"/>
                <w:color w:val="0E1E3A"/>
                <w:sz w:val="17"/>
                <w:szCs w:val="17"/>
              </w:rPr>
              <w:t>7.20%</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1.59%</w:t>
            </w:r>
          </w:p>
        </w:tc>
        <w:tc>
          <w:tcPr>
            <w:tcW w:type="dxa" w:w="1663"/>
          </w:tcPr>
          <w:p>
            <w:pPr>
              <w:spacing w:before="0" w:after="0" w:line="264" w:lineRule="auto"/>
            </w:pPr>
            <w:r>
              <w:rPr>
                <w:rFonts w:ascii="Arial" w:hAnsi="Arial" w:cs="Arial" w:eastAsia="Arial"/>
                <w:color w:val="0E1E3A"/>
                <w:sz w:val="17"/>
                <w:szCs w:val="17"/>
              </w:rPr>
              <w:t>6.89%</w:t>
            </w:r>
          </w:p>
        </w:tc>
        <w:tc>
          <w:tcPr>
            <w:tcW w:type="dxa" w:w="1663"/>
          </w:tcPr>
          <w:p>
            <w:pPr>
              <w:spacing w:before="0" w:after="0" w:line="264" w:lineRule="auto"/>
            </w:pPr>
            <w:r>
              <w:rPr>
                <w:rFonts w:ascii="Arial" w:hAnsi="Arial" w:cs="Arial" w:eastAsia="Arial"/>
                <w:color w:val="0E1E3A"/>
                <w:sz w:val="17"/>
                <w:szCs w:val="17"/>
              </w:rPr>
              <w:t>6.89%</w:t>
            </w:r>
          </w:p>
        </w:tc>
        <w:tc>
          <w:tcPr>
            <w:tcW w:type="dxa" w:w="1663"/>
          </w:tcPr>
          <w:p>
            <w:pPr>
              <w:spacing w:before="0" w:after="0" w:line="264" w:lineRule="auto"/>
            </w:pPr>
            <w:r>
              <w:rPr>
                <w:rFonts w:ascii="Arial" w:hAnsi="Arial" w:cs="Arial" w:eastAsia="Arial"/>
                <w:color w:val="0E1E3A"/>
                <w:sz w:val="17"/>
                <w:szCs w:val="17"/>
              </w:rPr>
              <w:t>24.65%</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-0.60%</w:t>
            </w:r>
          </w:p>
        </w:tc>
        <w:tc>
          <w:tcPr>
            <w:tcW w:type="dxa" w:w="1663"/>
          </w:tcPr>
          <w:p>
            <w:pPr>
              <w:spacing w:before="0" w:after="0" w:line="264" w:lineRule="auto"/>
            </w:pPr>
            <w:r>
              <w:rPr>
                <w:rFonts w:ascii="Arial" w:hAnsi="Arial" w:cs="Arial" w:eastAsia="Arial"/>
                <w:color w:val="0E1E3A"/>
                <w:sz w:val="17"/>
                <w:szCs w:val="17"/>
              </w:rPr>
              <w:t>-7.94%</w:t>
            </w:r>
          </w:p>
        </w:tc>
        <w:tc>
          <w:tcPr>
            <w:tcW w:type="dxa" w:w="1663"/>
          </w:tcPr>
          <w:p>
            <w:pPr>
              <w:spacing w:before="0" w:after="0" w:line="264" w:lineRule="auto"/>
            </w:pPr>
            <w:r>
              <w:rPr>
                <w:rFonts w:ascii="Arial" w:hAnsi="Arial" w:cs="Arial" w:eastAsia="Arial"/>
                <w:color w:val="0E1E3A"/>
                <w:sz w:val="17"/>
                <w:szCs w:val="17"/>
              </w:rPr>
              <w:t>-7.94%</w:t>
            </w:r>
          </w:p>
        </w:tc>
        <w:tc>
          <w:tcPr>
            <w:tcW w:type="dxa" w:w="1663"/>
          </w:tcPr>
          <w:p>
            <w:pPr>
              <w:spacing w:before="0" w:after="0" w:line="264" w:lineRule="auto"/>
            </w:pPr>
            <w:r>
              <w:rPr>
                <w:rFonts w:ascii="Arial" w:hAnsi="Arial" w:cs="Arial" w:eastAsia="Arial"/>
                <w:color w:val="0E1E3A"/>
                <w:sz w:val="17"/>
                <w:szCs w:val="17"/>
              </w:rPr>
              <w:t>-17.45%</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Total Return = NAV/Unit plus dividend distributions.</w:t>
      </w:r>
      <w:r>
        <w:br/>
      </w:r>
      <w:r>
        <w:rPr>
          <w:rFonts w:ascii="Arial" w:hAnsi="Arial" w:cs="Arial" w:eastAsia="Arial"/>
          <w:color w:val="5A6478"/>
          <w:sz w:val="17"/>
          <w:szCs w:val="17"/>
        </w:rPr>
        <w:t>** For the period from 1 January 2025 to 31 December 2025.</w:t>
      </w:r>
      <w:r>
        <w:br/>
      </w:r>
      <w:r>
        <w:rPr>
          <w:rFonts w:ascii="Arial" w:hAnsi="Arial" w:cs="Arial" w:eastAsia="Arial"/>
          <w:color w:val="5A6478"/>
          <w:sz w:val="17"/>
          <w:szCs w:val="17"/>
        </w:rPr>
        <w:t>*** For the period from 31 December 2024 to 31 December 2025.</w:t>
      </w:r>
      <w:r>
        <w:br/>
      </w:r>
      <w:r>
        <w:rPr>
          <w:rFonts w:ascii="Arial" w:hAnsi="Arial" w:cs="Arial" w:eastAsia="Arial"/>
          <w:color w:val="5A6478"/>
          <w:sz w:val="17"/>
          <w:szCs w:val="17"/>
        </w:rPr>
        <w:t>**** For the period from 31 December 2022 to 31 December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47"/>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o)</w:t>
      </w:r>
      <w:r>
        <w:rPr>
          <w:rFonts w:ascii="Arial" w:hAnsi="Arial" w:cs="Arial" w:eastAsia="Arial"/>
          <w:b/>
          <w:bCs/>
          <w:color w:val="3B7DD8"/>
          <w:sz w:val="26"/>
          <w:szCs w:val="26"/>
        </w:rPr>
        <w:t xml:space="preserve">  </w:t>
      </w:r>
      <w:r>
        <w:rPr>
          <w:rFonts w:ascii="Arial" w:hAnsi="Arial" w:cs="Arial" w:eastAsia="Arial"/>
          <w:b/>
          <w:bCs/>
          <w:color w:val="12284B"/>
          <w:sz w:val="26"/>
          <w:szCs w:val="26"/>
        </w:rPr>
        <w:t>Performance and Risk:</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(End of Q4)</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 *</w:t>
            </w:r>
          </w:p>
        </w:tc>
        <w:tc>
          <w:tcPr>
            <w:tcW w:type="dxa" w:w="1663"/>
            <w:shd w:val="clear" w:color="auto" w:fill="12284B"/>
          </w:tcPr>
          <w:p>
            <w:pPr>
              <w:spacing w:before="0" w:after="0" w:line="264" w:lineRule="auto"/>
            </w:pPr>
            <w:r>
              <w:rPr>
                <w:rFonts w:ascii="Arial" w:hAnsi="Arial" w:cs="Arial" w:eastAsia="Arial"/>
                <w:b/>
                <w:bCs/>
                <w:color w:val="FFFFFF"/>
                <w:sz w:val="17"/>
                <w:szCs w:val="17"/>
              </w:rPr>
              <w:t>One Year **</w:t>
            </w:r>
          </w:p>
        </w:tc>
        <w:tc>
          <w:tcPr>
            <w:tcW w:type="dxa" w:w="1663"/>
            <w:shd w:val="clear" w:color="auto" w:fill="12284B"/>
          </w:tcPr>
          <w:p>
            <w:pPr>
              <w:spacing w:before="0" w:after="0" w:line="264" w:lineRule="auto"/>
            </w:pPr>
            <w:r>
              <w:rPr>
                <w:rFonts w:ascii="Arial" w:hAnsi="Arial" w:cs="Arial" w:eastAsia="Arial"/>
                <w:b/>
                <w:bCs/>
                <w:color w:val="FFFFFF"/>
                <w:sz w:val="17"/>
                <w:szCs w:val="17"/>
              </w:rPr>
              <w:t>3 Years ***</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w:t>
            </w:r>
          </w:p>
        </w:tc>
        <w:tc>
          <w:tcPr>
            <w:tcW w:type="dxa" w:w="1663"/>
          </w:tcPr>
          <w:p>
            <w:pPr>
              <w:spacing w:before="0" w:after="0" w:line="264" w:lineRule="auto"/>
            </w:pPr>
            <w:r>
              <w:rPr>
                <w:rFonts w:ascii="Arial" w:hAnsi="Arial" w:cs="Arial" w:eastAsia="Arial"/>
                <w:color w:val="0E1E3A"/>
                <w:sz w:val="17"/>
                <w:szCs w:val="17"/>
              </w:rPr>
              <w:t>7.73</w:t>
            </w:r>
          </w:p>
        </w:tc>
        <w:tc>
          <w:tcPr>
            <w:tcW w:type="dxa" w:w="1663"/>
          </w:tcPr>
          <w:p>
            <w:pPr>
              <w:spacing w:before="0" w:after="0" w:line="264" w:lineRule="auto"/>
            </w:pPr>
            <w:r>
              <w:rPr>
                <w:rFonts w:ascii="Arial" w:hAnsi="Arial" w:cs="Arial" w:eastAsia="Arial"/>
                <w:color w:val="0E1E3A"/>
                <w:sz w:val="17"/>
                <w:szCs w:val="17"/>
              </w:rPr>
              <w:t>8.15</w:t>
            </w:r>
          </w:p>
        </w:tc>
        <w:tc>
          <w:tcPr>
            <w:tcW w:type="dxa" w:w="1663"/>
          </w:tcPr>
          <w:p>
            <w:pPr>
              <w:spacing w:before="0" w:after="0" w:line="264" w:lineRule="auto"/>
            </w:pPr>
            <w:r>
              <w:rPr>
                <w:rFonts w:ascii="Arial" w:hAnsi="Arial" w:cs="Arial" w:eastAsia="Arial"/>
                <w:color w:val="0E1E3A"/>
                <w:sz w:val="17"/>
                <w:szCs w:val="17"/>
              </w:rPr>
              <w:t>8.15</w:t>
            </w:r>
          </w:p>
        </w:tc>
        <w:tc>
          <w:tcPr>
            <w:tcW w:type="dxa" w:w="1663"/>
          </w:tcPr>
          <w:p>
            <w:pPr>
              <w:spacing w:before="0" w:after="0" w:line="264" w:lineRule="auto"/>
            </w:pPr>
            <w:r>
              <w:rPr>
                <w:rFonts w:ascii="Arial" w:hAnsi="Arial" w:cs="Arial" w:eastAsia="Arial"/>
                <w:color w:val="0E1E3A"/>
                <w:sz w:val="17"/>
                <w:szCs w:val="17"/>
              </w:rPr>
              <w:t>13.68</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w:t>
            </w:r>
          </w:p>
        </w:tc>
        <w:tc>
          <w:tcPr>
            <w:tcW w:type="dxa" w:w="1663"/>
          </w:tcPr>
          <w:p>
            <w:pPr>
              <w:spacing w:before="0" w:after="0" w:line="264" w:lineRule="auto"/>
            </w:pPr>
            <w:r>
              <w:rPr>
                <w:rFonts w:ascii="Arial" w:hAnsi="Arial" w:cs="Arial" w:eastAsia="Arial"/>
                <w:color w:val="0E1E3A"/>
                <w:sz w:val="17"/>
                <w:szCs w:val="17"/>
              </w:rPr>
              <w:t>-2.68</w:t>
            </w:r>
          </w:p>
        </w:tc>
        <w:tc>
          <w:tcPr>
            <w:tcW w:type="dxa" w:w="1663"/>
          </w:tcPr>
          <w:p>
            <w:pPr>
              <w:spacing w:before="0" w:after="0" w:line="264" w:lineRule="auto"/>
            </w:pPr>
            <w:r>
              <w:rPr>
                <w:rFonts w:ascii="Arial" w:hAnsi="Arial" w:cs="Arial" w:eastAsia="Arial"/>
                <w:color w:val="0E1E3A"/>
                <w:sz w:val="17"/>
                <w:szCs w:val="17"/>
              </w:rPr>
              <w:t>-2.30</w:t>
            </w:r>
          </w:p>
        </w:tc>
        <w:tc>
          <w:tcPr>
            <w:tcW w:type="dxa" w:w="1663"/>
          </w:tcPr>
          <w:p>
            <w:pPr>
              <w:spacing w:before="0" w:after="0" w:line="264" w:lineRule="auto"/>
            </w:pPr>
            <w:r>
              <w:rPr>
                <w:rFonts w:ascii="Arial" w:hAnsi="Arial" w:cs="Arial" w:eastAsia="Arial"/>
                <w:color w:val="0E1E3A"/>
                <w:sz w:val="17"/>
                <w:szCs w:val="17"/>
              </w:rPr>
              <w:t>-2.30</w:t>
            </w:r>
          </w:p>
        </w:tc>
        <w:tc>
          <w:tcPr>
            <w:tcW w:type="dxa" w:w="1663"/>
          </w:tcPr>
          <w:p>
            <w:pPr>
              <w:spacing w:before="0" w:after="0" w:line="264" w:lineRule="auto"/>
            </w:pPr>
            <w:r>
              <w:rPr>
                <w:rFonts w:ascii="Arial" w:hAnsi="Arial" w:cs="Arial" w:eastAsia="Arial"/>
                <w:color w:val="0E1E3A"/>
                <w:sz w:val="17"/>
                <w:szCs w:val="17"/>
              </w:rPr>
              <w:t>-0.1</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w:t>
            </w:r>
          </w:p>
        </w:tc>
        <w:tc>
          <w:tcPr>
            <w:tcW w:type="dxa" w:w="1663"/>
          </w:tcPr>
          <w:p>
            <w:pPr>
              <w:spacing w:before="0" w:after="0" w:line="264" w:lineRule="auto"/>
            </w:pPr>
            <w:r>
              <w:rPr>
                <w:rFonts w:ascii="Arial" w:hAnsi="Arial" w:cs="Arial" w:eastAsia="Arial"/>
                <w:color w:val="0E1E3A"/>
                <w:sz w:val="17"/>
                <w:szCs w:val="17"/>
              </w:rPr>
              <w:t>7.73</w:t>
            </w:r>
          </w:p>
        </w:tc>
        <w:tc>
          <w:tcPr>
            <w:tcW w:type="dxa" w:w="1663"/>
          </w:tcPr>
          <w:p>
            <w:pPr>
              <w:spacing w:before="0" w:after="0" w:line="264" w:lineRule="auto"/>
            </w:pPr>
            <w:r>
              <w:rPr>
                <w:rFonts w:ascii="Arial" w:hAnsi="Arial" w:cs="Arial" w:eastAsia="Arial"/>
                <w:color w:val="0E1E3A"/>
                <w:sz w:val="17"/>
                <w:szCs w:val="17"/>
              </w:rPr>
              <w:t>8.19</w:t>
            </w:r>
          </w:p>
        </w:tc>
        <w:tc>
          <w:tcPr>
            <w:tcW w:type="dxa" w:w="1663"/>
          </w:tcPr>
          <w:p>
            <w:pPr>
              <w:spacing w:before="0" w:after="0" w:line="264" w:lineRule="auto"/>
            </w:pPr>
            <w:r>
              <w:rPr>
                <w:rFonts w:ascii="Arial" w:hAnsi="Arial" w:cs="Arial" w:eastAsia="Arial"/>
                <w:color w:val="0E1E3A"/>
                <w:sz w:val="17"/>
                <w:szCs w:val="17"/>
              </w:rPr>
              <w:t>8.19</w:t>
            </w:r>
          </w:p>
        </w:tc>
        <w:tc>
          <w:tcPr>
            <w:tcW w:type="dxa" w:w="1663"/>
          </w:tcPr>
          <w:p>
            <w:pPr>
              <w:spacing w:before="0" w:after="0" w:line="264" w:lineRule="auto"/>
            </w:pPr>
            <w:r>
              <w:rPr>
                <w:rFonts w:ascii="Arial" w:hAnsi="Arial" w:cs="Arial" w:eastAsia="Arial"/>
                <w:color w:val="0E1E3A"/>
                <w:sz w:val="17"/>
                <w:szCs w:val="17"/>
              </w:rPr>
              <w:t>13.66</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w:t>
            </w:r>
          </w:p>
        </w:tc>
        <w:tc>
          <w:tcPr>
            <w:tcW w:type="dxa" w:w="1663"/>
          </w:tcPr>
          <w:p>
            <w:pPr>
              <w:spacing w:before="0" w:after="0" w:line="264" w:lineRule="auto"/>
            </w:pPr>
            <w:r>
              <w:rPr>
                <w:rFonts w:ascii="Arial" w:hAnsi="Arial" w:cs="Arial" w:eastAsia="Arial"/>
                <w:color w:val="0E1E3A"/>
                <w:sz w:val="17"/>
                <w:szCs w:val="17"/>
              </w:rPr>
              <w:t>0.74</w:t>
            </w:r>
          </w:p>
        </w:tc>
        <w:tc>
          <w:tcPr>
            <w:tcW w:type="dxa" w:w="1663"/>
          </w:tcPr>
          <w:p>
            <w:pPr>
              <w:spacing w:before="0" w:after="0" w:line="264" w:lineRule="auto"/>
            </w:pPr>
            <w:r>
              <w:rPr>
                <w:rFonts w:ascii="Arial" w:hAnsi="Arial" w:cs="Arial" w:eastAsia="Arial"/>
                <w:color w:val="0E1E3A"/>
                <w:sz w:val="17"/>
                <w:szCs w:val="17"/>
              </w:rPr>
              <w:t>-1.12</w:t>
            </w:r>
          </w:p>
        </w:tc>
        <w:tc>
          <w:tcPr>
            <w:tcW w:type="dxa" w:w="1663"/>
          </w:tcPr>
          <w:p>
            <w:pPr>
              <w:spacing w:before="0" w:after="0" w:line="264" w:lineRule="auto"/>
            </w:pPr>
            <w:r>
              <w:rPr>
                <w:rFonts w:ascii="Arial" w:hAnsi="Arial" w:cs="Arial" w:eastAsia="Arial"/>
                <w:color w:val="0E1E3A"/>
                <w:sz w:val="17"/>
                <w:szCs w:val="17"/>
              </w:rPr>
              <w:t>-1.12</w:t>
            </w:r>
          </w:p>
        </w:tc>
        <w:tc>
          <w:tcPr>
            <w:tcW w:type="dxa" w:w="1663"/>
          </w:tcPr>
          <w:p>
            <w:pPr>
              <w:spacing w:before="0" w:after="0" w:line="264" w:lineRule="auto"/>
            </w:pPr>
            <w:r>
              <w:rPr>
                <w:rFonts w:ascii="Arial" w:hAnsi="Arial" w:cs="Arial" w:eastAsia="Arial"/>
                <w:color w:val="0E1E3A"/>
                <w:sz w:val="17"/>
                <w:szCs w:val="17"/>
              </w:rPr>
              <w:t>1.47</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w:t>
            </w:r>
          </w:p>
        </w:tc>
        <w:tc>
          <w:tcPr>
            <w:tcW w:type="dxa" w:w="1663"/>
          </w:tcPr>
          <w:p>
            <w:pPr>
              <w:spacing w:before="0" w:after="0" w:line="264" w:lineRule="auto"/>
            </w:pPr>
            <w:r>
              <w:rPr>
                <w:rFonts w:ascii="Arial" w:hAnsi="Arial" w:cs="Arial" w:eastAsia="Arial"/>
                <w:color w:val="0E1E3A"/>
                <w:sz w:val="17"/>
                <w:szCs w:val="17"/>
              </w:rPr>
              <w:t>-22.48%</w:t>
            </w:r>
          </w:p>
        </w:tc>
        <w:tc>
          <w:tcPr>
            <w:tcW w:type="dxa" w:w="1663"/>
          </w:tcPr>
          <w:p>
            <w:pPr>
              <w:spacing w:before="0" w:after="0" w:line="264" w:lineRule="auto"/>
            </w:pPr>
            <w:r>
              <w:rPr>
                <w:rFonts w:ascii="Arial" w:hAnsi="Arial" w:cs="Arial" w:eastAsia="Arial"/>
                <w:color w:val="0E1E3A"/>
                <w:sz w:val="17"/>
                <w:szCs w:val="17"/>
              </w:rPr>
              <w:t>-6.88%</w:t>
            </w:r>
          </w:p>
        </w:tc>
        <w:tc>
          <w:tcPr>
            <w:tcW w:type="dxa" w:w="1663"/>
          </w:tcPr>
          <w:p>
            <w:pPr>
              <w:spacing w:before="0" w:after="0" w:line="264" w:lineRule="auto"/>
            </w:pPr>
            <w:r>
              <w:rPr>
                <w:rFonts w:ascii="Arial" w:hAnsi="Arial" w:cs="Arial" w:eastAsia="Arial"/>
                <w:color w:val="0E1E3A"/>
                <w:sz w:val="17"/>
                <w:szCs w:val="17"/>
              </w:rPr>
              <w:t>-6.88%</w:t>
            </w:r>
          </w:p>
        </w:tc>
        <w:tc>
          <w:tcPr>
            <w:tcW w:type="dxa" w:w="1663"/>
          </w:tcPr>
          <w:p>
            <w:pPr>
              <w:spacing w:before="0" w:after="0" w:line="264" w:lineRule="auto"/>
            </w:pPr>
            <w:r>
              <w:rPr>
                <w:rFonts w:ascii="Arial" w:hAnsi="Arial" w:cs="Arial" w:eastAsia="Arial"/>
                <w:color w:val="0E1E3A"/>
                <w:sz w:val="17"/>
                <w:szCs w:val="17"/>
              </w:rPr>
              <w:t>-7.60%</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w:t>
            </w:r>
          </w:p>
        </w:tc>
        <w:tc>
          <w:tcPr>
            <w:tcW w:type="dxa" w:w="1663"/>
          </w:tcPr>
          <w:p>
            <w:pPr>
              <w:spacing w:before="0" w:after="0" w:line="264" w:lineRule="auto"/>
            </w:pPr>
            <w:r>
              <w:rPr>
                <w:rFonts w:ascii="Arial" w:hAnsi="Arial" w:cs="Arial" w:eastAsia="Arial"/>
                <w:color w:val="0E1E3A"/>
                <w:sz w:val="17"/>
                <w:szCs w:val="17"/>
              </w:rPr>
              <w:t>-2.94%</w:t>
            </w:r>
          </w:p>
        </w:tc>
        <w:tc>
          <w:tcPr>
            <w:tcW w:type="dxa" w:w="1663"/>
          </w:tcPr>
          <w:p>
            <w:pPr>
              <w:spacing w:before="0" w:after="0" w:line="264" w:lineRule="auto"/>
            </w:pPr>
            <w:r>
              <w:rPr>
                <w:rFonts w:ascii="Arial" w:hAnsi="Arial" w:cs="Arial" w:eastAsia="Arial"/>
                <w:color w:val="0E1E3A"/>
                <w:sz w:val="17"/>
                <w:szCs w:val="17"/>
              </w:rPr>
              <w:t>-2.85%</w:t>
            </w:r>
          </w:p>
        </w:tc>
        <w:tc>
          <w:tcPr>
            <w:tcW w:type="dxa" w:w="1663"/>
          </w:tcPr>
          <w:p>
            <w:pPr>
              <w:spacing w:before="0" w:after="0" w:line="264" w:lineRule="auto"/>
            </w:pPr>
            <w:r>
              <w:rPr>
                <w:rFonts w:ascii="Arial" w:hAnsi="Arial" w:cs="Arial" w:eastAsia="Arial"/>
                <w:color w:val="0E1E3A"/>
                <w:sz w:val="17"/>
                <w:szCs w:val="17"/>
              </w:rPr>
              <w:t>-2.85%</w:t>
            </w:r>
          </w:p>
        </w:tc>
        <w:tc>
          <w:tcPr>
            <w:tcW w:type="dxa" w:w="1663"/>
          </w:tcPr>
          <w:p>
            <w:pPr>
              <w:spacing w:before="0" w:after="0" w:line="264" w:lineRule="auto"/>
            </w:pPr>
            <w:r>
              <w:rPr>
                <w:rFonts w:ascii="Arial" w:hAnsi="Arial" w:cs="Arial" w:eastAsia="Arial"/>
                <w:color w:val="0E1E3A"/>
                <w:sz w:val="17"/>
                <w:szCs w:val="17"/>
              </w:rPr>
              <w:t>-0.30%</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1 January 2025 to 31 December 2025.</w:t>
      </w:r>
      <w:r>
        <w:br/>
      </w:r>
      <w:r>
        <w:rPr>
          <w:rFonts w:ascii="Arial" w:hAnsi="Arial" w:cs="Arial" w:eastAsia="Arial"/>
          <w:color w:val="5A6478"/>
          <w:sz w:val="17"/>
          <w:szCs w:val="17"/>
        </w:rPr>
        <w:t>** For the period from 31 December 2024 to 31 December 2025.</w:t>
      </w:r>
      <w:r>
        <w:br/>
      </w:r>
      <w:r>
        <w:rPr>
          <w:rFonts w:ascii="Arial" w:hAnsi="Arial" w:cs="Arial" w:eastAsia="Arial"/>
          <w:color w:val="5A6478"/>
          <w:sz w:val="17"/>
          <w:szCs w:val="17"/>
        </w:rPr>
        <w:t>*** For the period from 31 December 2022 to 31 December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48"/>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p)</w:t>
      </w:r>
      <w:r>
        <w:rPr>
          <w:rFonts w:ascii="Arial" w:hAnsi="Arial" w:cs="Arial" w:eastAsia="Arial"/>
          <w:b/>
          <w:bCs/>
          <w:color w:val="3B7DD8"/>
          <w:sz w:val="26"/>
          <w:szCs w:val="26"/>
        </w:rPr>
        <w:t xml:space="preserve">  </w:t>
      </w:r>
      <w:r>
        <w:rPr>
          <w:rFonts w:ascii="Arial" w:hAnsi="Arial" w:cs="Arial" w:eastAsia="Arial"/>
          <w:b/>
          <w:bCs/>
          <w:color w:val="12284B"/>
          <w:sz w:val="26"/>
          <w:szCs w:val="26"/>
        </w:rPr>
        <w:t>Equations Used to Calculate Performance and Risk:</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tcPr>
          <w:p>
            <w:pPr>
              <w:spacing w:before="0" w:after="0" w:line="264" w:lineRule="auto"/>
            </w:pPr>
            <w:r>
              <w:rPr>
                <w:rFonts w:ascii="Arial" w:hAnsi="Arial" w:cs="Arial" w:eastAsia="Arial"/>
                <w:color w:val="0E1E3A"/>
                <w:sz w:val="17"/>
                <w:szCs w:val="17"/>
              </w:rPr>
              <w:t>Standard Deviation</w:t>
            </w:r>
          </w:p>
        </w:tc>
        <w:tc>
          <w:tcPr>
            <w:tcW w:type="dxa" w:w="3326"/>
          </w:tcPr>
          <w:p>
            <w:pPr>
              <w:spacing w:before="0" w:after="0" w:line="264" w:lineRule="auto"/>
            </w:pPr>
            <w:r>
              <w:rPr>
                <w:rFonts w:ascii="Arial" w:hAnsi="Arial" w:cs="Arial" w:eastAsia="Arial"/>
                <w:color w:val="0E1E3A"/>
                <w:sz w:val="17"/>
                <w:szCs w:val="17"/>
              </w:rPr>
              <w:t>σp = √[ 1/(N − 1) · Σ(Rp,i − Rp)² ]</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Rp,i = Portfolio return in period i</w:t>
            </w:r>
            <w:r>
              <w:br/>
            </w:r>
            <w:r>
              <w:rPr>
                <w:rFonts w:ascii="Arial" w:hAnsi="Arial" w:cs="Arial" w:eastAsia="Arial"/>
                <w:color w:val="0E1E3A"/>
                <w:sz w:val="17"/>
                <w:szCs w:val="17"/>
              </w:rPr>
              <w:t>Rp = Average portfolio return</w:t>
            </w:r>
            <w:r>
              <w:br/>
            </w:r>
            <w:r>
              <w:rPr>
                <w:rFonts w:ascii="Arial" w:hAnsi="Arial" w:cs="Arial" w:eastAsia="Arial"/>
                <w:color w:val="0E1E3A"/>
                <w:sz w:val="17"/>
                <w:szCs w:val="17"/>
              </w:rPr>
              <w:t>N = Number of periods</w:t>
            </w:r>
          </w:p>
        </w:tc>
      </w:tr>
      <w:tr>
        <w:tc>
          <w:tcPr>
            <w:tcW w:type="dxa" w:w="3326"/>
          </w:tcPr>
          <w:p>
            <w:pPr>
              <w:spacing w:before="0" w:after="0" w:line="264" w:lineRule="auto"/>
            </w:pPr>
            <w:r>
              <w:rPr>
                <w:rFonts w:ascii="Arial" w:hAnsi="Arial" w:cs="Arial" w:eastAsia="Arial"/>
                <w:color w:val="0E1E3A"/>
                <w:sz w:val="17"/>
                <w:szCs w:val="17"/>
              </w:rPr>
              <w:t>Sharpe Ratio</w:t>
            </w:r>
          </w:p>
        </w:tc>
        <w:tc>
          <w:tcPr>
            <w:tcW w:type="dxa" w:w="3326"/>
          </w:tcPr>
          <w:p>
            <w:pPr>
              <w:spacing w:before="0" w:after="0" w:line="264" w:lineRule="auto"/>
            </w:pPr>
            <w:r>
              <w:rPr>
                <w:rFonts w:ascii="Arial" w:hAnsi="Arial" w:cs="Arial" w:eastAsia="Arial"/>
                <w:color w:val="0E1E3A"/>
                <w:sz w:val="17"/>
                <w:szCs w:val="17"/>
              </w:rPr>
              <w:t>[(Average Annualised Return − Risk Free Rate) ÷ Standard Deviation]</w:t>
            </w:r>
          </w:p>
        </w:tc>
        <w:tc>
          <w:tcPr>
            <w:tcW w:type="dxa" w:w="3326"/>
          </w:tcPr>
          <w:p>
            <w:pPr>
              <w:spacing w:before="0" w:after="0" w:line="264" w:lineRule="auto"/>
            </w:pPr>
          </w:p>
        </w:tc>
      </w:tr>
      <w:tr>
        <w:tc>
          <w:tcPr>
            <w:tcW w:type="dxa" w:w="3326"/>
          </w:tcPr>
          <w:p>
            <w:pPr>
              <w:spacing w:before="0" w:after="0" w:line="264" w:lineRule="auto"/>
            </w:pPr>
            <w:r>
              <w:rPr>
                <w:rFonts w:ascii="Arial" w:hAnsi="Arial" w:cs="Arial" w:eastAsia="Arial"/>
                <w:color w:val="0E1E3A"/>
                <w:sz w:val="17"/>
                <w:szCs w:val="17"/>
              </w:rPr>
              <w:t>Tracking Error</w:t>
            </w:r>
          </w:p>
        </w:tc>
        <w:tc>
          <w:tcPr>
            <w:tcW w:type="dxa" w:w="3326"/>
          </w:tcPr>
          <w:p>
            <w:pPr>
              <w:spacing w:before="0" w:after="0" w:line="264" w:lineRule="auto"/>
            </w:pPr>
            <w:r>
              <w:rPr>
                <w:rFonts w:ascii="Arial" w:hAnsi="Arial" w:cs="Arial" w:eastAsia="Arial"/>
                <w:color w:val="0E1E3A"/>
                <w:sz w:val="17"/>
                <w:szCs w:val="17"/>
              </w:rPr>
              <w:t>TE = √[ 1/(N − 1) · Σ[(Rp,i − Rb,i) − (Rp − Rb)]² ]</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Rp,i = Portfolio return in period i</w:t>
            </w:r>
            <w:r>
              <w:br/>
            </w:r>
            <w:r>
              <w:rPr>
                <w:rFonts w:ascii="Arial" w:hAnsi="Arial" w:cs="Arial" w:eastAsia="Arial"/>
                <w:color w:val="0E1E3A"/>
                <w:sz w:val="17"/>
                <w:szCs w:val="17"/>
              </w:rPr>
              <w:t>Rb,i = Portfolio return in period i</w:t>
            </w:r>
            <w:r>
              <w:br/>
            </w:r>
            <w:r>
              <w:rPr>
                <w:rFonts w:ascii="Arial" w:hAnsi="Arial" w:cs="Arial" w:eastAsia="Arial"/>
                <w:color w:val="0E1E3A"/>
                <w:sz w:val="17"/>
                <w:szCs w:val="17"/>
              </w:rPr>
              <w:t>Rp = Average portfolio return</w:t>
            </w:r>
            <w:r>
              <w:br/>
            </w:r>
            <w:r>
              <w:rPr>
                <w:rFonts w:ascii="Arial" w:hAnsi="Arial" w:cs="Arial" w:eastAsia="Arial"/>
                <w:color w:val="0E1E3A"/>
                <w:sz w:val="17"/>
                <w:szCs w:val="17"/>
              </w:rPr>
              <w:t>Rb = Average portfolio return</w:t>
            </w:r>
            <w:r>
              <w:br/>
            </w:r>
            <w:r>
              <w:rPr>
                <w:rFonts w:ascii="Arial" w:hAnsi="Arial" w:cs="Arial" w:eastAsia="Arial"/>
                <w:color w:val="0E1E3A"/>
                <w:sz w:val="17"/>
                <w:szCs w:val="17"/>
              </w:rPr>
              <w:t>N = Number of periods</w:t>
            </w:r>
          </w:p>
        </w:tc>
      </w:tr>
      <w:tr>
        <w:tc>
          <w:tcPr>
            <w:tcW w:type="dxa" w:w="3326"/>
          </w:tcPr>
          <w:p>
            <w:pPr>
              <w:spacing w:before="0" w:after="0" w:line="264" w:lineRule="auto"/>
            </w:pPr>
            <w:r>
              <w:rPr>
                <w:rFonts w:ascii="Arial" w:hAnsi="Arial" w:cs="Arial" w:eastAsia="Arial"/>
                <w:color w:val="0E1E3A"/>
                <w:sz w:val="17"/>
                <w:szCs w:val="17"/>
              </w:rPr>
              <w:t>Beta</w:t>
            </w:r>
          </w:p>
        </w:tc>
        <w:tc>
          <w:tcPr>
            <w:tcW w:type="dxa" w:w="3326"/>
          </w:tcPr>
          <w:p>
            <w:pPr>
              <w:spacing w:before="0" w:after="0" w:line="264" w:lineRule="auto"/>
            </w:pPr>
            <w:r>
              <w:rPr>
                <w:rFonts w:ascii="Arial" w:hAnsi="Arial" w:cs="Arial" w:eastAsia="Arial"/>
                <w:color w:val="0E1E3A"/>
                <w:sz w:val="17"/>
                <w:szCs w:val="17"/>
              </w:rPr>
              <w:t>β = Cov(Rp, Rb) / Var (Rb)</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Cov(Rp, Rb)= covariance between portfolio and benchmark returns</w:t>
            </w:r>
            <w:r>
              <w:br/>
            </w:r>
            <w:r>
              <w:rPr>
                <w:rFonts w:ascii="Arial" w:hAnsi="Arial" w:cs="Arial" w:eastAsia="Arial"/>
                <w:color w:val="0E1E3A"/>
                <w:sz w:val="17"/>
                <w:szCs w:val="17"/>
              </w:rPr>
              <w:t>Var (Rb)= variance of benchmark returns</w:t>
            </w:r>
          </w:p>
        </w:tc>
      </w:tr>
      <w:tr>
        <w:tc>
          <w:tcPr>
            <w:tcW w:type="dxa" w:w="3326"/>
          </w:tcPr>
          <w:p>
            <w:pPr>
              <w:spacing w:before="0" w:after="0" w:line="264" w:lineRule="auto"/>
            </w:pPr>
            <w:r>
              <w:rPr>
                <w:rFonts w:ascii="Arial" w:hAnsi="Arial" w:cs="Arial" w:eastAsia="Arial"/>
                <w:color w:val="0E1E3A"/>
                <w:sz w:val="17"/>
                <w:szCs w:val="17"/>
              </w:rPr>
              <w:t>Alpha</w:t>
            </w:r>
          </w:p>
        </w:tc>
        <w:tc>
          <w:tcPr>
            <w:tcW w:type="dxa" w:w="3326"/>
          </w:tcPr>
          <w:p>
            <w:pPr>
              <w:spacing w:before="0" w:after="0" w:line="264" w:lineRule="auto"/>
            </w:pPr>
            <w:r>
              <w:rPr>
                <w:rFonts w:ascii="Arial" w:hAnsi="Arial" w:cs="Arial" w:eastAsia="Arial"/>
                <w:color w:val="0E1E3A"/>
                <w:sz w:val="17"/>
                <w:szCs w:val="17"/>
              </w:rPr>
              <w:t>α = Rp − [ Rf + β ∗ (Rb − Rf)]</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 average portfolio return</w:t>
            </w:r>
            <w:r>
              <w:br/>
            </w:r>
            <w:r>
              <w:rPr>
                <w:rFonts w:ascii="Arial" w:hAnsi="Arial" w:cs="Arial" w:eastAsia="Arial"/>
                <w:color w:val="0E1E3A"/>
                <w:sz w:val="17"/>
                <w:szCs w:val="17"/>
              </w:rPr>
              <w:t>(Rb)= average benchmark return</w:t>
            </w:r>
            <w:r>
              <w:br/>
            </w:r>
            <w:r>
              <w:rPr>
                <w:rFonts w:ascii="Arial" w:hAnsi="Arial" w:cs="Arial" w:eastAsia="Arial"/>
                <w:color w:val="0E1E3A"/>
                <w:sz w:val="17"/>
                <w:szCs w:val="17"/>
              </w:rPr>
              <w:t>(Rf)= risk free rate</w:t>
            </w:r>
            <w:r>
              <w:br/>
            </w:r>
            <w:r>
              <w:rPr>
                <w:rFonts w:ascii="Arial" w:hAnsi="Arial" w:cs="Arial" w:eastAsia="Arial"/>
                <w:color w:val="0E1E3A"/>
                <w:sz w:val="17"/>
                <w:szCs w:val="17"/>
              </w:rPr>
              <w:t>β= portfolio beta</w:t>
            </w:r>
          </w:p>
        </w:tc>
      </w:tr>
      <w:tr>
        <w:tc>
          <w:tcPr>
            <w:tcW w:type="dxa" w:w="3326"/>
          </w:tcPr>
          <w:p>
            <w:pPr>
              <w:spacing w:before="0" w:after="0" w:line="264" w:lineRule="auto"/>
            </w:pPr>
            <w:r>
              <w:rPr>
                <w:rFonts w:ascii="Arial" w:hAnsi="Arial" w:cs="Arial" w:eastAsia="Arial"/>
                <w:color w:val="0E1E3A"/>
                <w:sz w:val="17"/>
                <w:szCs w:val="17"/>
              </w:rPr>
              <w:t>Information Ratio</w:t>
            </w:r>
          </w:p>
        </w:tc>
        <w:tc>
          <w:tcPr>
            <w:tcW w:type="dxa" w:w="3326"/>
          </w:tcPr>
          <w:p>
            <w:pPr>
              <w:spacing w:before="0" w:after="0" w:line="264" w:lineRule="auto"/>
            </w:pPr>
            <w:r>
              <w:rPr>
                <w:rFonts w:ascii="Arial" w:hAnsi="Arial" w:cs="Arial" w:eastAsia="Arial"/>
                <w:color w:val="0E1E3A"/>
                <w:sz w:val="17"/>
                <w:szCs w:val="17"/>
              </w:rPr>
              <w:t>IR = (Rp − Rb) / σ (Rp − Rb)</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 = Return of the portfolio</w:t>
            </w:r>
            <w:r>
              <w:br/>
            </w:r>
            <w:r>
              <w:rPr>
                <w:rFonts w:ascii="Arial" w:hAnsi="Arial" w:cs="Arial" w:eastAsia="Arial"/>
                <w:color w:val="0E1E3A"/>
                <w:sz w:val="17"/>
                <w:szCs w:val="17"/>
              </w:rPr>
              <w:t>Rb = Return of the benchmark</w:t>
            </w:r>
            <w:r>
              <w:br/>
            </w:r>
            <w:r>
              <w:rPr>
                <w:rFonts w:ascii="Arial" w:hAnsi="Arial" w:cs="Arial" w:eastAsia="Arial"/>
                <w:color w:val="0E1E3A"/>
                <w:sz w:val="17"/>
                <w:szCs w:val="17"/>
              </w:rPr>
              <w:t>Rp-Rb = Active return (the difference between portfolio and benchmark returns</w:t>
            </w:r>
            <w:r>
              <w:br/>
            </w:r>
            <w:r>
              <w:rPr>
                <w:rFonts w:ascii="Arial" w:hAnsi="Arial" w:cs="Arial" w:eastAsia="Arial"/>
                <w:color w:val="0E1E3A"/>
                <w:sz w:val="17"/>
                <w:szCs w:val="17"/>
              </w:rPr>
              <w:t>σ(Rp−Rb) = Tracking error (standard deviation of the active return)</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49"/>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q)</w:t>
      </w:r>
      <w:r>
        <w:rPr>
          <w:rFonts w:ascii="Arial" w:hAnsi="Arial" w:cs="Arial" w:eastAsia="Arial"/>
          <w:b/>
          <w:bCs/>
          <w:color w:val="3B7DD8"/>
          <w:sz w:val="26"/>
          <w:szCs w:val="26"/>
        </w:rPr>
        <w:t xml:space="preserve">  </w:t>
      </w:r>
      <w:r>
        <w:rPr>
          <w:rFonts w:ascii="Arial" w:hAnsi="Arial" w:cs="Arial" w:eastAsia="Arial"/>
          <w:b/>
          <w:bCs/>
          <w:color w:val="12284B"/>
          <w:sz w:val="26"/>
          <w:szCs w:val="26"/>
        </w:rPr>
        <w:t>Graph Depicting Performance Since the Inception of the Fund:</w:t>
      </w:r>
    </w:p>
    <w:p>
      <w:pPr>
        <w:spacing w:before="0" w:after="80" w:line="240" w:lineRule="auto"/>
        <w:jc w:val="center"/>
      </w:pPr>
      <w:r>
        <w:drawing>
          <wp:inline xmlns:a="http://schemas.openxmlformats.org/drawingml/2006/main" xmlns:pic="http://schemas.openxmlformats.org/drawingml/2006/picture">
            <wp:extent cx="6336000" cy="2739892"/>
            <wp:docPr id="22" name="Picture 9050"/>
            <wp:cNvGraphicFramePr>
              <a:graphicFrameLocks noChangeAspect="1"/>
            </wp:cNvGraphicFramePr>
            <a:graphic>
              <a:graphicData uri="http://schemas.openxmlformats.org/drawingml/2006/picture">
                <pic:pic>
                  <pic:nvPicPr>
                    <pic:cNvPr id="0" name="x5.j.jpg"/>
                    <pic:cNvPicPr/>
                  </pic:nvPicPr>
                  <pic:blipFill>
                    <a:blip r:embed="rId24"/>
                    <a:stretch>
                      <a:fillRect/>
                    </a:stretch>
                  </pic:blipFill>
                  <pic:spPr>
                    <a:xfrm>
                      <a:off x="0" y="0"/>
                      <a:ext cx="6336000" cy="2739892"/>
                    </a:xfrm>
                    <a:prstGeom prst="rect"/>
                  </pic:spPr>
                </pic:pic>
              </a:graphicData>
            </a:graphic>
          </wp:inline>
        </w:drawing>
      </w:r>
    </w:p>
    <w:p>
      <w:pPr>
        <w:spacing w:before="0" w:after="80" w:line="312" w:lineRule="auto"/>
      </w:pPr>
      <w:r>
        <w:rPr>
          <w:rFonts w:ascii="Arial" w:hAnsi="Arial" w:cs="Arial" w:eastAsia="Arial"/>
          <w:color w:val="5A6478"/>
          <w:sz w:val="17"/>
          <w:szCs w:val="17"/>
        </w:rPr>
        <w:t>As at 31 December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51"/>
            <wp:cNvGraphicFramePr>
              <a:graphicFrameLocks noChangeAspect="1"/>
            </wp:cNvGraphicFramePr>
            <a:graphic>
              <a:graphicData uri="http://schemas.openxmlformats.org/drawingml/2006/picture">
                <pic:pic>
                  <pic:nvPicPr>
                    <pic:cNvPr id="0" name="ico_8eba3796ad497c7a142d47da7c90fea0.png"/>
                    <pic:cNvPicPr/>
                  </pic:nvPicPr>
                  <pic:blipFill>
                    <a:blip r:embed="rId1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52"/>
            <wp:cNvGraphicFramePr>
              <a:graphicFrameLocks noChangeAspect="1"/>
            </wp:cNvGraphicFramePr>
            <a:graphic>
              <a:graphicData uri="http://schemas.openxmlformats.org/drawingml/2006/picture">
                <pic:pic>
                  <pic:nvPicPr>
                    <pic:cNvPr id="0" name="ico_31799530e5dd3dc5b4ca7f2d37945432.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 Quarterly Statement Q4 2025</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