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4"/>
            <wp:cNvGraphicFramePr/>
            <a:graphic>
              <a:graphicData uri="http://schemas.openxmlformats.org/drawingml/2006/picture">
                <pic:pic>
                  <pic:nvPicPr>
                    <pic:cNvPr id="9004" name="banner900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0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يتمثل الهدف الاستثماري للصندوق في تحقيق دخل دوري للمستثمرين من خلال الاستثمار في أصول مدرّة للدخل؛ من خلال هيكل استثماري متوافق مع ضوابط لجنة الرقابة الشرعية. وينوي مدير الصندوق "الخبير المالية" الاستثمار في الصكوك، وصفقات عقود التمويل التجاري، وصفقات الإجارة، وأدوات الدخل المهيكلة، والديون المدعومة بالأصول،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17 يوليو 2024م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10.3573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w:t>
            </w:r>
          </w:p>
        </w:tc>
        <w:tc>
          <w:tcPr>
            <w:tcW w:type="dxa" w:w="6860"/>
          </w:tcPr>
          <w:p>
            <w:pPr>
              <w:bidi w:val="1"/>
              <w:spacing w:before="0" w:after="0" w:line="276" w:lineRule="auto"/>
            </w:pPr>
            <w:r>
              <w:rPr>
                <w:rFonts w:ascii="Arial" w:hAnsi="Arial" w:cs="Arial" w:eastAsia="Arial"/>
                <w:b/>
                <w:bCs/>
                <w:color w:val="0E1E3A"/>
                <w:sz w:val="18"/>
                <w:szCs w:val="18"/>
                <w:rtl/>
              </w:rPr>
              <w:t>318,494,440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 xml:space="preserve">مؤشر مركب من معدل </w:t>
            </w:r>
            <w:r>
              <w:rPr>
                <w:rFonts w:ascii="Arial" w:hAnsi="Arial" w:cs="Arial" w:eastAsia="Arial"/>
                <w:b/>
                <w:bCs/>
                <w:color w:val="0E1E3A"/>
                <w:sz w:val="18"/>
                <w:szCs w:val="18"/>
              </w:rPr>
              <w:t>‎70%‎</w:t>
            </w:r>
            <w:r>
              <w:rPr>
                <w:rFonts w:ascii="Arial" w:hAnsi="Arial" w:cs="Arial" w:eastAsia="Arial"/>
                <w:b/>
                <w:bCs/>
                <w:color w:val="0E1E3A"/>
                <w:sz w:val="18"/>
                <w:szCs w:val="18"/>
                <w:rtl/>
              </w:rPr>
              <w:t xml:space="preserve"> من العائد على مؤشر داو جونز للعائد الإجمالي على الصكوك </w:t>
            </w:r>
            <w:r>
              <w:rPr>
                <w:rFonts w:ascii="Arial" w:hAnsi="Arial" w:cs="Arial" w:eastAsia="Arial"/>
                <w:b/>
                <w:bCs/>
                <w:color w:val="0E1E3A"/>
                <w:sz w:val="18"/>
                <w:szCs w:val="18"/>
              </w:rPr>
              <w:t>‎30%‎</w:t>
            </w:r>
            <w:r>
              <w:rPr>
                <w:rFonts w:ascii="Arial" w:hAnsi="Arial" w:cs="Arial" w:eastAsia="Arial"/>
                <w:b/>
                <w:bCs/>
                <w:color w:val="0E1E3A"/>
                <w:sz w:val="18"/>
                <w:szCs w:val="18"/>
                <w:rtl/>
              </w:rPr>
              <w:t>+ مؤشر سعر فائدة التمويل المضمون لليلة واحدة SOFR لثلاثة أشهر. وهو مؤشر متوافق مع ضوابط الشريعة الإسلامية.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w:t>
            </w:r>
          </w:p>
        </w:tc>
        <w:tc>
          <w:tcPr>
            <w:tcW w:type="dxa" w:w="6860"/>
          </w:tcPr>
          <w:p>
            <w:pPr>
              <w:bidi w:val="1"/>
              <w:spacing w:before="0" w:after="0" w:line="276" w:lineRule="auto"/>
            </w:pPr>
            <w:r>
              <w:rPr>
                <w:rFonts w:ascii="Arial" w:hAnsi="Arial" w:cs="Arial" w:eastAsia="Arial"/>
                <w:b/>
                <w:bCs/>
                <w:color w:val="0E1E3A"/>
                <w:sz w:val="18"/>
                <w:szCs w:val="18"/>
                <w:rtl/>
              </w:rPr>
              <w:t>يجوز لمدير الصندوق توزيع عوائد استثمارات الصندوق بعد خصم المصروفات والمخصصات على مالكي الوحدات أكثر من مرتين في السنة وفق تقديره.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91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قيمة الأصول كما في تاريخ 30 يونيو 2026م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وكلما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0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bidi w:val="1"/>
        <w:spacing w:before="0" w:after="80" w:line="312" w:lineRule="auto"/>
      </w:pPr>
      <w:r>
        <w:rPr>
          <w:rFonts w:ascii="Arial" w:hAnsi="Arial" w:cs="Arial" w:eastAsia="Arial"/>
          <w:color w:val="0E1E3A"/>
          <w:sz w:val="20"/>
          <w:szCs w:val="20"/>
          <w:rtl/>
        </w:rPr>
        <w:t>لا ينطبق.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0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(يونيو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كما في نهاية الربع الثاني (30 يونيو 2026م)</w:t>
            </w:r>
          </w:p>
        </w:tc>
        <w:tc>
          <w:tcPr>
            <w:tcW w:type="dxa" w:w="6860"/>
          </w:tcPr>
          <w:p>
            <w:pPr>
              <w:bidi w:val="1"/>
              <w:spacing w:before="0" w:after="0" w:line="276" w:lineRule="auto"/>
            </w:pPr>
            <w:r>
              <w:rPr>
                <w:rFonts w:ascii="Arial" w:hAnsi="Arial" w:cs="Arial" w:eastAsia="Arial"/>
                <w:b/>
                <w:bCs/>
                <w:color w:val="0E1E3A"/>
                <w:sz w:val="18"/>
                <w:szCs w:val="18"/>
                <w:rtl/>
              </w:rPr>
              <w:t>7.30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‎-7.24%‎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عدد وحدات الصندوق</w:t>
            </w:r>
          </w:p>
        </w:tc>
        <w:tc>
          <w:tcPr>
            <w:tcW w:type="dxa" w:w="6860"/>
          </w:tcPr>
          <w:p>
            <w:pPr>
              <w:bidi w:val="1"/>
              <w:spacing w:before="0" w:after="0" w:line="276" w:lineRule="auto"/>
            </w:pPr>
            <w:r>
              <w:rPr>
                <w:rFonts w:ascii="Arial" w:hAnsi="Arial" w:cs="Arial" w:eastAsia="Arial"/>
                <w:b/>
                <w:bCs/>
                <w:color w:val="0E1E3A"/>
                <w:sz w:val="18"/>
                <w:szCs w:val="18"/>
                <w:rtl/>
              </w:rPr>
              <w:t>30,545,635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الأصول</w:t>
            </w:r>
          </w:p>
        </w:tc>
        <w:tc>
          <w:tcPr>
            <w:tcW w:type="dxa" w:w="6860"/>
          </w:tcPr>
          <w:p>
            <w:pPr>
              <w:bidi w:val="1"/>
              <w:spacing w:before="0" w:after="0" w:line="276" w:lineRule="auto"/>
            </w:pPr>
            <w:r>
              <w:rPr>
                <w:rFonts w:ascii="Arial" w:hAnsi="Arial" w:cs="Arial" w:eastAsia="Arial"/>
                <w:b/>
                <w:bCs/>
                <w:color w:val="0E1E3A"/>
                <w:sz w:val="18"/>
                <w:szCs w:val="18"/>
                <w:rtl/>
              </w:rPr>
              <w:t>316,370,007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الثاني (يونيو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والمصروفات الإجمالية (TER)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1,209,648 ر.س.</w:t>
            </w:r>
          </w:p>
        </w:tc>
        <w:tc>
          <w:tcPr>
            <w:tcW w:type="dxa" w:w="3326"/>
          </w:tcPr>
          <w:p>
            <w:pPr>
              <w:bidi w:val="1"/>
              <w:spacing w:before="0" w:after="0" w:line="264" w:lineRule="auto"/>
            </w:pPr>
            <w:r>
              <w:rPr>
                <w:rFonts w:ascii="Arial" w:hAnsi="Arial" w:cs="Arial" w:eastAsia="Arial"/>
                <w:color w:val="0E1E3A"/>
                <w:sz w:val="17"/>
                <w:szCs w:val="17"/>
              </w:rPr>
              <w:t>‎0.39%‎</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مصاريف التعامل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الأرباح الموزعة من صافي قيمة الأصول</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متوسط صافي قيمة الأصول = 313,511,582 ريال سعودي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ويجب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وتنتفي المسؤولية عن مدير الصندوق، أو أي من تابعيه في حال وقوع أية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1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2901621"/>
            <wp:docPr id="12" name="Picture 901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2901621"/>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بداية الربع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16"/>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الثاني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الثاني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الثاني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سيقوم مدير الصندوق بتوزيع عوائد استثمارات الصندوق بعد خصم المصروفات والمخصصات والاحتياطيات على مالكي الوحدات مرتين في السنة. وذلك باستثناء الأرباح الرأس مالية الناتجة عن بيع الأصول المستثمر فيها، والتي قد يتم إعادة استثمارها في أصول أخرى أو توزيع كل أو جزء منها وفقًا لتقدير مدير الصندوق.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وسيقوم الصندوق بتوزيع الأرباح خلال 40 يوم عمل من تاريخ آخر يوم من كل نصف سنة، وبنهاية كل سنة ميلادية؛ أي خلال شهري أغسطس وفبراير من كل سنة ميلادية. وسيتم إيداع أية أرباح نقدية موزعة في الحساب الاستثماري الخاص لمالك الوحدات. يجوز لمدير الصندوق توزيع عوائد استثمارات الصندوق بعد خصم المصروفات والمخصصات على مالكي الوحدات أكثر من مرتين في السنة وفق تقديره.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1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18"/>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16" name="Picture 9019"/>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1883676"/>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969297"/>
            <wp:docPr id="17" name="Picture 9020"/>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96929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بداية الربع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2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الثاني)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‎1.84%‎</w:t>
            </w:r>
          </w:p>
        </w:tc>
        <w:tc>
          <w:tcPr>
            <w:tcW w:type="dxa" w:w="1663"/>
          </w:tcPr>
          <w:p>
            <w:pPr>
              <w:bidi w:val="1"/>
              <w:spacing w:before="0" w:after="0" w:line="264" w:lineRule="auto"/>
            </w:pPr>
            <w:r>
              <w:rPr>
                <w:rFonts w:ascii="Arial" w:hAnsi="Arial" w:cs="Arial" w:eastAsia="Arial"/>
                <w:color w:val="0E1E3A"/>
                <w:sz w:val="17"/>
                <w:szCs w:val="17"/>
              </w:rPr>
              <w:t>‎3.56%‎</w:t>
            </w:r>
          </w:p>
        </w:tc>
        <w:tc>
          <w:tcPr>
            <w:tcW w:type="dxa" w:w="1663"/>
          </w:tcPr>
          <w:p>
            <w:pPr>
              <w:bidi w:val="1"/>
              <w:spacing w:before="0" w:after="0" w:line="264" w:lineRule="auto"/>
            </w:pPr>
            <w:r>
              <w:rPr>
                <w:rFonts w:ascii="Arial" w:hAnsi="Arial" w:cs="Arial" w:eastAsia="Arial"/>
                <w:color w:val="0E1E3A"/>
                <w:sz w:val="17"/>
                <w:szCs w:val="17"/>
              </w:rPr>
              <w:t>‎6.96%‎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‎1.12%‎</w:t>
            </w:r>
          </w:p>
        </w:tc>
        <w:tc>
          <w:tcPr>
            <w:tcW w:type="dxa" w:w="1663"/>
          </w:tcPr>
          <w:p>
            <w:pPr>
              <w:bidi w:val="1"/>
              <w:spacing w:before="0" w:after="0" w:line="264" w:lineRule="auto"/>
            </w:pPr>
            <w:r>
              <w:rPr>
                <w:rFonts w:ascii="Arial" w:hAnsi="Arial" w:cs="Arial" w:eastAsia="Arial"/>
                <w:color w:val="0E1E3A"/>
                <w:sz w:val="17"/>
                <w:szCs w:val="17"/>
              </w:rPr>
              <w:t>‎2.19%‎</w:t>
            </w:r>
          </w:p>
        </w:tc>
        <w:tc>
          <w:tcPr>
            <w:tcW w:type="dxa" w:w="1663"/>
          </w:tcPr>
          <w:p>
            <w:pPr>
              <w:bidi w:val="1"/>
              <w:spacing w:before="0" w:after="0" w:line="264" w:lineRule="auto"/>
            </w:pPr>
            <w:r>
              <w:rPr>
                <w:rFonts w:ascii="Arial" w:hAnsi="Arial" w:cs="Arial" w:eastAsia="Arial"/>
                <w:color w:val="0E1E3A"/>
                <w:sz w:val="17"/>
                <w:szCs w:val="17"/>
              </w:rPr>
              <w:t>‎4.43%‎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‎0.72%‎</w:t>
            </w:r>
          </w:p>
        </w:tc>
        <w:tc>
          <w:tcPr>
            <w:tcW w:type="dxa" w:w="1663"/>
          </w:tcPr>
          <w:p>
            <w:pPr>
              <w:bidi w:val="1"/>
              <w:spacing w:before="0" w:after="0" w:line="264" w:lineRule="auto"/>
            </w:pPr>
            <w:r>
              <w:rPr>
                <w:rFonts w:ascii="Arial" w:hAnsi="Arial" w:cs="Arial" w:eastAsia="Arial"/>
                <w:color w:val="0E1E3A"/>
                <w:sz w:val="17"/>
                <w:szCs w:val="17"/>
              </w:rPr>
              <w:t>‎1.36%‎</w:t>
            </w:r>
          </w:p>
        </w:tc>
        <w:tc>
          <w:tcPr>
            <w:tcW w:type="dxa" w:w="1663"/>
          </w:tcPr>
          <w:p>
            <w:pPr>
              <w:bidi w:val="1"/>
              <w:spacing w:before="0" w:after="0" w:line="264" w:lineRule="auto"/>
            </w:pPr>
            <w:r>
              <w:rPr>
                <w:rFonts w:ascii="Arial" w:hAnsi="Arial" w:cs="Arial" w:eastAsia="Arial"/>
                <w:color w:val="0E1E3A"/>
                <w:sz w:val="17"/>
                <w:szCs w:val="17"/>
              </w:rPr>
              <w:t>‎2.53%‎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r>
        <w:br/>
      </w:r>
      <w:r>
        <w:rPr>
          <w:rFonts w:ascii="Arial" w:hAnsi="Arial" w:cs="Arial" w:eastAsia="Arial"/>
          <w:color w:val="5A6478"/>
          <w:sz w:val="17"/>
          <w:szCs w:val="17"/>
          <w:rtl/>
        </w:rPr>
        <w:t>**عن الفترة من 1 أبريل 2026م إلى 30 يونيو 2026م.</w:t>
      </w:r>
      <w:r>
        <w:br/>
      </w:r>
      <w:r>
        <w:rPr>
          <w:rFonts w:ascii="Arial" w:hAnsi="Arial" w:cs="Arial" w:eastAsia="Arial"/>
          <w:color w:val="5A6478"/>
          <w:sz w:val="17"/>
          <w:szCs w:val="17"/>
          <w:rtl/>
        </w:rPr>
        <w:t>*** عن الفترة من 30 يونيو 2025م إلى 30 يونيو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الثاني)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26.04</w:t>
            </w:r>
          </w:p>
        </w:tc>
        <w:tc>
          <w:tcPr>
            <w:tcW w:type="dxa" w:w="1663"/>
          </w:tcPr>
          <w:p>
            <w:pPr>
              <w:bidi w:val="1"/>
              <w:spacing w:before="0" w:after="0" w:line="264" w:lineRule="auto"/>
            </w:pPr>
            <w:r>
              <w:rPr>
                <w:rFonts w:ascii="Arial" w:hAnsi="Arial" w:cs="Arial" w:eastAsia="Arial"/>
                <w:color w:val="0E1E3A"/>
                <w:sz w:val="17"/>
                <w:szCs w:val="17"/>
                <w:rtl/>
              </w:rPr>
              <w:t>20.75</w:t>
            </w:r>
          </w:p>
        </w:tc>
        <w:tc>
          <w:tcPr>
            <w:tcW w:type="dxa" w:w="1663"/>
          </w:tcPr>
          <w:p>
            <w:pPr>
              <w:bidi w:val="1"/>
              <w:spacing w:before="0" w:after="0" w:line="264" w:lineRule="auto"/>
            </w:pPr>
            <w:r>
              <w:rPr>
                <w:rFonts w:ascii="Arial" w:hAnsi="Arial" w:cs="Arial" w:eastAsia="Arial"/>
                <w:color w:val="0E1E3A"/>
                <w:sz w:val="17"/>
                <w:szCs w:val="17"/>
                <w:rtl/>
              </w:rPr>
              <w:t>15.38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1.16-</w:t>
            </w:r>
          </w:p>
        </w:tc>
        <w:tc>
          <w:tcPr>
            <w:tcW w:type="dxa" w:w="1663"/>
          </w:tcPr>
          <w:p>
            <w:pPr>
              <w:bidi w:val="1"/>
              <w:spacing w:before="0" w:after="0" w:line="264" w:lineRule="auto"/>
            </w:pPr>
            <w:r>
              <w:rPr>
                <w:rFonts w:ascii="Arial" w:hAnsi="Arial" w:cs="Arial" w:eastAsia="Arial"/>
                <w:color w:val="0E1E3A"/>
                <w:sz w:val="17"/>
                <w:szCs w:val="17"/>
                <w:rtl/>
              </w:rPr>
              <w:t>0.33-</w:t>
            </w:r>
          </w:p>
        </w:tc>
        <w:tc>
          <w:tcPr>
            <w:tcW w:type="dxa" w:w="1663"/>
          </w:tcPr>
          <w:p>
            <w:pPr>
              <w:bidi w:val="1"/>
              <w:spacing w:before="0" w:after="0" w:line="264" w:lineRule="auto"/>
            </w:pPr>
            <w:r>
              <w:rPr>
                <w:rFonts w:ascii="Arial" w:hAnsi="Arial" w:cs="Arial" w:eastAsia="Arial"/>
                <w:color w:val="0E1E3A"/>
                <w:sz w:val="17"/>
                <w:szCs w:val="17"/>
                <w:rtl/>
              </w:rPr>
              <w:t>0.16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0.26</w:t>
            </w:r>
          </w:p>
        </w:tc>
        <w:tc>
          <w:tcPr>
            <w:tcW w:type="dxa" w:w="1663"/>
          </w:tcPr>
          <w:p>
            <w:pPr>
              <w:bidi w:val="1"/>
              <w:spacing w:before="0" w:after="0" w:line="264" w:lineRule="auto"/>
            </w:pPr>
            <w:r>
              <w:rPr>
                <w:rFonts w:ascii="Arial" w:hAnsi="Arial" w:cs="Arial" w:eastAsia="Arial"/>
                <w:color w:val="0E1E3A"/>
                <w:sz w:val="17"/>
                <w:szCs w:val="17"/>
                <w:rtl/>
              </w:rPr>
              <w:t>0.21</w:t>
            </w:r>
          </w:p>
        </w:tc>
        <w:tc>
          <w:tcPr>
            <w:tcW w:type="dxa" w:w="1663"/>
          </w:tcPr>
          <w:p>
            <w:pPr>
              <w:bidi w:val="1"/>
              <w:spacing w:before="0" w:after="0" w:line="264" w:lineRule="auto"/>
            </w:pPr>
            <w:r>
              <w:rPr>
                <w:rFonts w:ascii="Arial" w:hAnsi="Arial" w:cs="Arial" w:eastAsia="Arial"/>
                <w:color w:val="0E1E3A"/>
                <w:sz w:val="17"/>
                <w:szCs w:val="17"/>
                <w:rtl/>
              </w:rPr>
              <w:t>0.15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188.47</w:t>
            </w:r>
          </w:p>
        </w:tc>
        <w:tc>
          <w:tcPr>
            <w:tcW w:type="dxa" w:w="1663"/>
          </w:tcPr>
          <w:p>
            <w:pPr>
              <w:bidi w:val="1"/>
              <w:spacing w:before="0" w:after="0" w:line="264" w:lineRule="auto"/>
            </w:pPr>
            <w:r>
              <w:rPr>
                <w:rFonts w:ascii="Arial" w:hAnsi="Arial" w:cs="Arial" w:eastAsia="Arial"/>
                <w:color w:val="0E1E3A"/>
                <w:sz w:val="17"/>
                <w:szCs w:val="17"/>
                <w:rtl/>
              </w:rPr>
              <w:t>144.55-</w:t>
            </w:r>
          </w:p>
        </w:tc>
        <w:tc>
          <w:tcPr>
            <w:tcW w:type="dxa" w:w="1663"/>
          </w:tcPr>
          <w:p>
            <w:pPr>
              <w:bidi w:val="1"/>
              <w:spacing w:before="0" w:after="0" w:line="264" w:lineRule="auto"/>
            </w:pPr>
            <w:r>
              <w:rPr>
                <w:rFonts w:ascii="Arial" w:hAnsi="Arial" w:cs="Arial" w:eastAsia="Arial"/>
                <w:color w:val="0E1E3A"/>
                <w:sz w:val="17"/>
                <w:szCs w:val="17"/>
                <w:rtl/>
              </w:rPr>
              <w:t>36.97-</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tl/>
              </w:rPr>
              <w:t>8.87-</w:t>
            </w:r>
          </w:p>
        </w:tc>
        <w:tc>
          <w:tcPr>
            <w:tcW w:type="dxa" w:w="1663"/>
          </w:tcPr>
          <w:p>
            <w:pPr>
              <w:bidi w:val="1"/>
              <w:spacing w:before="0" w:after="0" w:line="264" w:lineRule="auto"/>
            </w:pPr>
            <w:r>
              <w:rPr>
                <w:rFonts w:ascii="Arial" w:hAnsi="Arial" w:cs="Arial" w:eastAsia="Arial"/>
                <w:color w:val="0E1E3A"/>
                <w:sz w:val="17"/>
                <w:szCs w:val="17"/>
                <w:rtl/>
              </w:rPr>
              <w:t>6.39</w:t>
            </w:r>
          </w:p>
        </w:tc>
        <w:tc>
          <w:tcPr>
            <w:tcW w:type="dxa" w:w="1663"/>
          </w:tcPr>
          <w:p>
            <w:pPr>
              <w:bidi w:val="1"/>
              <w:spacing w:before="0" w:after="0" w:line="264" w:lineRule="auto"/>
            </w:pPr>
            <w:r>
              <w:rPr>
                <w:rFonts w:ascii="Arial" w:hAnsi="Arial" w:cs="Arial" w:eastAsia="Arial"/>
                <w:color w:val="0E1E3A"/>
                <w:sz w:val="17"/>
                <w:szCs w:val="17"/>
                <w:rtl/>
              </w:rPr>
              <w:t>1.68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tl/>
              </w:rPr>
              <w:t>1.14-</w:t>
            </w:r>
          </w:p>
        </w:tc>
        <w:tc>
          <w:tcPr>
            <w:tcW w:type="dxa" w:w="1663"/>
          </w:tcPr>
          <w:p>
            <w:pPr>
              <w:bidi w:val="1"/>
              <w:spacing w:before="0" w:after="0" w:line="264" w:lineRule="auto"/>
            </w:pPr>
            <w:r>
              <w:rPr>
                <w:rFonts w:ascii="Arial" w:hAnsi="Arial" w:cs="Arial" w:eastAsia="Arial"/>
                <w:color w:val="0E1E3A"/>
                <w:sz w:val="17"/>
                <w:szCs w:val="17"/>
                <w:rtl/>
              </w:rPr>
              <w:t>0.36-</w:t>
            </w:r>
          </w:p>
        </w:tc>
        <w:tc>
          <w:tcPr>
            <w:tcW w:type="dxa" w:w="1663"/>
          </w:tcPr>
          <w:p>
            <w:pPr>
              <w:bidi w:val="1"/>
              <w:spacing w:before="0" w:after="0" w:line="264" w:lineRule="auto"/>
            </w:pPr>
            <w:r>
              <w:rPr>
                <w:rFonts w:ascii="Arial" w:hAnsi="Arial" w:cs="Arial" w:eastAsia="Arial"/>
                <w:color w:val="0E1E3A"/>
                <w:sz w:val="17"/>
                <w:szCs w:val="17"/>
                <w:rtl/>
              </w:rPr>
              <w:t>0.41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*عن الفترة من 1 أبريل 2026م إلى 30 يونيو 2026م.</w:t>
      </w:r>
      <w:r>
        <w:br/>
      </w:r>
      <w:r>
        <w:rPr>
          <w:rFonts w:ascii="Arial" w:hAnsi="Arial" w:cs="Arial" w:eastAsia="Arial"/>
          <w:color w:val="5A6478"/>
          <w:sz w:val="17"/>
          <w:szCs w:val="17"/>
          <w:rtl/>
        </w:rPr>
        <w:t>** عن الفترة من 30 يونيو 2025م إلى 30 يونيو 2026م.</w:t>
      </w:r>
      <w:r>
        <w:br/>
      </w:r>
      <w:r>
        <w:rPr>
          <w:rFonts w:ascii="Arial" w:hAnsi="Arial" w:cs="Arial" w:eastAsia="Arial"/>
          <w:color w:val="5A6478"/>
          <w:sz w:val="17"/>
          <w:szCs w:val="17"/>
          <w:rtl/>
        </w:rPr>
        <w:t>***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23"/>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r>
        <w:tc>
          <w:tcPr>
            <w:tcW w:type="dxa" w:w="3326"/>
          </w:tcPr>
          <w:p>
            <w:pPr>
              <w:bidi w:val="1"/>
              <w:spacing w:before="0" w:after="0" w:line="264" w:lineRule="auto"/>
            </w:pPr>
            <w:r>
              <w:rPr>
                <w:rFonts w:ascii="Arial" w:hAnsi="Arial" w:cs="Arial" w:eastAsia="Arial"/>
                <w:color w:val="0E1E3A"/>
                <w:sz w:val="17"/>
                <w:szCs w:val="17"/>
                <w:rtl/>
              </w:rPr>
              <w:t>مؤشر المعلومات</w:t>
            </w:r>
          </w:p>
        </w:tc>
        <w:tc>
          <w:tcPr>
            <w:tcW w:type="dxa" w:w="3326"/>
          </w:tcPr>
          <w:p>
            <w:pPr>
              <w:bidi w:val="1"/>
              <w:spacing w:before="0" w:after="0" w:line="264" w:lineRule="auto"/>
            </w:pPr>
            <w:r>
              <w:rPr>
                <w:rFonts w:ascii="Arial" w:hAnsi="Arial" w:cs="Arial" w:eastAsia="Arial"/>
                <w:color w:val="0E1E3A"/>
                <w:sz w:val="17"/>
                <w:szCs w:val="17"/>
                <w:rtl/>
              </w:rPr>
              <w:t>IR = (Rp − Rb) / σ (Rp −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 Return of the portfolio</w:t>
            </w:r>
            <w:r>
              <w:br/>
            </w:r>
            <w:r>
              <w:rPr>
                <w:rFonts w:ascii="Arial" w:hAnsi="Arial" w:cs="Arial" w:eastAsia="Arial"/>
                <w:color w:val="0E1E3A"/>
                <w:sz w:val="17"/>
                <w:szCs w:val="17"/>
                <w:rtl/>
              </w:rPr>
              <w:t>Rb = Return of the benchmark</w:t>
            </w:r>
            <w:r>
              <w:br/>
            </w:r>
            <w:r>
              <w:rPr>
                <w:rFonts w:ascii="Arial" w:hAnsi="Arial" w:cs="Arial" w:eastAsia="Arial"/>
                <w:color w:val="0E1E3A"/>
                <w:sz w:val="17"/>
                <w:szCs w:val="17"/>
                <w:rtl/>
              </w:rPr>
              <w:t>Rp-Rb = Active return (the difference between portfolio and benchmark returns</w:t>
            </w:r>
            <w:r>
              <w:br/>
            </w:r>
            <w:r>
              <w:rPr>
                <w:rFonts w:ascii="Arial" w:hAnsi="Arial" w:cs="Arial" w:eastAsia="Arial"/>
                <w:color w:val="0E1E3A"/>
                <w:sz w:val="17"/>
                <w:szCs w:val="17"/>
                <w:rtl/>
              </w:rPr>
              <w:t>σ(Rp−Rb) = Tracking error (standard deviation of the active return)</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24"/>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2" name="Picture 9025"/>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30 يونيو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26"/>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27"/>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2030 المتداول — البيان الربع سنوي الربع الثاني 2026م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