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4"/>
            <wp:cNvGraphicFramePr/>
            <a:graphic>
              <a:graphicData uri="http://schemas.openxmlformats.org/drawingml/2006/picture">
                <pic:pic>
                  <pic:nvPicPr>
                    <pic:cNvPr id="9004" name="banner900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0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objective is to generate periodic income to investors by investing in income generating assets, using a Shariah compliance investment structure. The Fund Manager, Alkhabeer Capital, intends to invest in Sukuk, Trade Financing Transactions, Leasing Transactions, structured income instruments, asset backed debts, income funds and Murabaha transactions, either directly or by way of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17 July 2024</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10.3573</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w:t>
            </w:r>
          </w:p>
        </w:tc>
        <w:tc>
          <w:tcPr>
            <w:tcW w:type="dxa" w:w="6860"/>
          </w:tcPr>
          <w:p>
            <w:pPr>
              <w:spacing w:before="0" w:after="0" w:line="276" w:lineRule="auto"/>
            </w:pPr>
            <w:r>
              <w:rPr>
                <w:rFonts w:ascii="Arial" w:hAnsi="Arial" w:cs="Arial" w:eastAsia="Arial"/>
                <w:b/>
                <w:bCs/>
                <w:color w:val="0E1E3A"/>
                <w:sz w:val="18"/>
                <w:szCs w:val="18"/>
              </w:rPr>
              <w:t>SAR 318,494,440</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Riyal</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The Benchmark is a composite index comprised of 70% of the Dow Jones Sukuk Investment Grade Total Return +30% of the Secured Overnight Financing Rate for three months (SOFR 3M), which is a Shari’a compliant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The Fund Manager may distribute returns on Fund investments, after deducting expenses and provisions, to Unitholders more than twice a year, at its discretion.</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91 days</w:t>
            </w:r>
          </w:p>
        </w:tc>
      </w:tr>
    </w:tbl>
    <w:p>
      <w:pPr>
        <w:spacing w:before="0" w:after="40" w:line="300" w:lineRule="auto"/>
      </w:pPr>
    </w:p>
    <w:p>
      <w:pPr>
        <w:spacing w:before="0" w:after="80" w:line="312" w:lineRule="auto"/>
      </w:pPr>
      <w:r>
        <w:rPr>
          <w:rFonts w:ascii="Arial" w:hAnsi="Arial" w:cs="Arial" w:eastAsia="Arial"/>
          <w:color w:val="5A6478"/>
          <w:sz w:val="17"/>
          <w:szCs w:val="17"/>
        </w:rPr>
        <w:t>* Total Asset Value as at 30 June 2026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lower the Fund Manager deviates from the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 and the market on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0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spacing w:before="0" w:after="80" w:line="312" w:lineRule="auto"/>
      </w:pPr>
      <w:r>
        <w:rPr>
          <w:rFonts w:ascii="Arial" w:hAnsi="Arial" w:cs="Arial" w:eastAsia="Arial"/>
          <w:color w:val="0E1E3A"/>
          <w:sz w:val="20"/>
          <w:szCs w:val="20"/>
        </w:rPr>
        <w:t>N/A.</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09"/>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(June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at the end of Q2 (30 June 2026)</w:t>
            </w:r>
          </w:p>
        </w:tc>
        <w:tc>
          <w:tcPr>
            <w:tcW w:type="dxa" w:w="6860"/>
          </w:tcPr>
          <w:p>
            <w:pPr>
              <w:spacing w:before="0" w:after="0" w:line="276" w:lineRule="auto"/>
            </w:pPr>
            <w:r>
              <w:rPr>
                <w:rFonts w:ascii="Arial" w:hAnsi="Arial" w:cs="Arial" w:eastAsia="Arial"/>
                <w:b/>
                <w:bCs/>
                <w:color w:val="0E1E3A"/>
                <w:sz w:val="18"/>
                <w:szCs w:val="18"/>
              </w:rPr>
              <w:t>SAR 7.30</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-7.24%</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30,545,635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316,370,007</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Q2 (June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w:t>
            </w:r>
          </w:p>
        </w:tc>
        <w:tc>
          <w:tcPr>
            <w:tcW w:type="dxa" w:w="3326"/>
          </w:tcPr>
          <w:p>
            <w:pPr>
              <w:spacing w:before="0" w:after="0" w:line="264" w:lineRule="auto"/>
            </w:pPr>
            <w:r>
              <w:rPr>
                <w:rFonts w:ascii="Arial" w:hAnsi="Arial" w:cs="Arial" w:eastAsia="Arial"/>
                <w:color w:val="0E1E3A"/>
                <w:sz w:val="17"/>
                <w:szCs w:val="17"/>
              </w:rPr>
              <w:t>SAR 1,209,648</w:t>
            </w:r>
          </w:p>
        </w:tc>
        <w:tc>
          <w:tcPr>
            <w:tcW w:type="dxa" w:w="3326"/>
          </w:tcPr>
          <w:p>
            <w:pPr>
              <w:spacing w:before="0" w:after="0" w:line="264" w:lineRule="auto"/>
            </w:pPr>
            <w:r>
              <w:rPr>
                <w:rFonts w:ascii="Arial" w:hAnsi="Arial" w:cs="Arial" w:eastAsia="Arial"/>
                <w:color w:val="0E1E3A"/>
                <w:sz w:val="17"/>
                <w:szCs w:val="17"/>
              </w:rPr>
              <w:t>0.39%</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Distributed Dividends from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Average Net Asset Value = SAR 313,511,582.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13"/>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2030, nor shall it (or any part of it) form the basis of, or be relied on, in connection with, or act as inducement to enter into any contract whatsoever. Prospective investors should read carefully Alkhabeer Diversified Income Traded Fund 2030’s Terms and Conditions and their contents related to investment risks, as well as other Alkhabeer Diversified Income Traded Fund 2030 documents prior to making any investment decision. Alkhabeer Diversified Income Traded Fund 2030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2030 is not a guarantee of the Fund’s future results. By investing in the Fund, the investor acknowledges having read and accepted Alkhabeer Diversified Income Traded Fund 2030’s Terms and Conditions, The Fund Manager or any of its affiliates shall not be liable for any financial loss which may be suffered by the Fund, unless such loss is deliberately caused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1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540108"/>
            <wp:docPr id="12" name="Picture 9015"/>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540108"/>
                    </a:xfrm>
                    <a:prstGeom prst="rect"/>
                  </pic:spPr>
                </pic:pic>
              </a:graphicData>
            </a:graphic>
          </wp:inline>
        </w:drawing>
      </w:r>
    </w:p>
    <w:p>
      <w:pPr>
        <w:spacing w:before="0" w:after="80" w:line="312" w:lineRule="auto"/>
      </w:pPr>
      <w:r>
        <w:rPr>
          <w:rFonts w:ascii="Arial" w:hAnsi="Arial" w:cs="Arial" w:eastAsia="Arial"/>
          <w:color w:val="5A6478"/>
          <w:sz w:val="17"/>
          <w:szCs w:val="17"/>
        </w:rPr>
        <w:t>* As at the beginning of the relevant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16"/>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Q2</w:t>
            </w:r>
          </w:p>
        </w:tc>
        <w:tc>
          <w:tcPr>
            <w:tcW w:type="dxa" w:w="6860"/>
          </w:tcPr>
          <w:p>
            <w:pPr>
              <w:spacing w:before="0" w:after="0" w:line="276" w:lineRule="auto"/>
            </w:pPr>
            <w:r>
              <w:rPr>
                <w:rFonts w:ascii="Arial" w:hAnsi="Arial" w:cs="Arial" w:eastAsia="Arial"/>
                <w:b/>
                <w:bCs/>
                <w:color w:val="0E1E3A"/>
                <w:sz w:val="18"/>
                <w:szCs w:val="18"/>
              </w:rPr>
              <w:t>None</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Receiving Dividends in Q2</w:t>
            </w:r>
          </w:p>
        </w:tc>
        <w:tc>
          <w:tcPr>
            <w:tcW w:type="dxa" w:w="6860"/>
          </w:tcPr>
          <w:p>
            <w:pPr>
              <w:spacing w:before="0" w:after="0" w:line="276" w:lineRule="auto"/>
            </w:pPr>
            <w:r>
              <w:rPr>
                <w:rFonts w:ascii="Arial" w:hAnsi="Arial" w:cs="Arial" w:eastAsia="Arial"/>
                <w:b/>
                <w:bCs/>
                <w:color w:val="0E1E3A"/>
                <w:sz w:val="18"/>
                <w:szCs w:val="18"/>
              </w:rPr>
              <w:t>None</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in Q2</w:t>
            </w:r>
          </w:p>
        </w:tc>
        <w:tc>
          <w:tcPr>
            <w:tcW w:type="dxa" w:w="6860"/>
          </w:tcPr>
          <w:p>
            <w:pPr>
              <w:spacing w:before="0" w:after="0" w:line="276" w:lineRule="auto"/>
            </w:pPr>
            <w:r>
              <w:rPr>
                <w:rFonts w:ascii="Arial" w:hAnsi="Arial" w:cs="Arial" w:eastAsia="Arial"/>
                <w:b/>
                <w:bCs/>
                <w:color w:val="0E1E3A"/>
                <w:sz w:val="18"/>
                <w:szCs w:val="18"/>
              </w:rPr>
              <w:t>None</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None</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None</w:t>
            </w:r>
          </w:p>
        </w:tc>
      </w:tr>
    </w:tbl>
    <w:p>
      <w:pPr>
        <w:spacing w:before="0" w:after="40" w:line="300" w:lineRule="auto"/>
      </w:pP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will distribute returns on Fund investments, after deducting expenses, provisions and reserves, to Fund Unitholders semi-annually, with the exception of capital gains resulting from the sale of underlying assets, which may be reinvested in other assets or distributed in whole or in part at the Fund Manager’s discretion.</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will distribute dividends within (40) business days after the last day of each semiannual period and at the end of each Gregorian year, i.e. in August and February of each Gregorian year. Any distributed cash returns will be deposited in the Unitholder's investment Account. The Fund Manager may distribute the returns on the Fund’s investments, after deducting expenses and provisions, to Unitholders more than twice per year at the Fund Manager’s discretion.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1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18"/>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1836108"/>
            <wp:docPr id="16" name="Picture 9019"/>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1836108"/>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20"/>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As at the beginning of the relevant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21"/>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Q2)</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1.84%</w:t>
            </w:r>
          </w:p>
        </w:tc>
        <w:tc>
          <w:tcPr>
            <w:tcW w:type="dxa" w:w="1663"/>
          </w:tcPr>
          <w:p>
            <w:pPr>
              <w:spacing w:before="0" w:after="0" w:line="264" w:lineRule="auto"/>
            </w:pPr>
            <w:r>
              <w:rPr>
                <w:rFonts w:ascii="Arial" w:hAnsi="Arial" w:cs="Arial" w:eastAsia="Arial"/>
                <w:color w:val="0E1E3A"/>
                <w:sz w:val="17"/>
                <w:szCs w:val="17"/>
              </w:rPr>
              <w:t>3.56%</w:t>
            </w:r>
          </w:p>
        </w:tc>
        <w:tc>
          <w:tcPr>
            <w:tcW w:type="dxa" w:w="1663"/>
          </w:tcPr>
          <w:p>
            <w:pPr>
              <w:spacing w:before="0" w:after="0" w:line="264" w:lineRule="auto"/>
            </w:pPr>
            <w:r>
              <w:rPr>
                <w:rFonts w:ascii="Arial" w:hAnsi="Arial" w:cs="Arial" w:eastAsia="Arial"/>
                <w:color w:val="0E1E3A"/>
                <w:sz w:val="17"/>
                <w:szCs w:val="17"/>
              </w:rPr>
              <w:t>6.96%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1.12%</w:t>
            </w:r>
          </w:p>
        </w:tc>
        <w:tc>
          <w:tcPr>
            <w:tcW w:type="dxa" w:w="1663"/>
          </w:tcPr>
          <w:p>
            <w:pPr>
              <w:spacing w:before="0" w:after="0" w:line="264" w:lineRule="auto"/>
            </w:pPr>
            <w:r>
              <w:rPr>
                <w:rFonts w:ascii="Arial" w:hAnsi="Arial" w:cs="Arial" w:eastAsia="Arial"/>
                <w:color w:val="0E1E3A"/>
                <w:sz w:val="17"/>
                <w:szCs w:val="17"/>
              </w:rPr>
              <w:t>2.19%</w:t>
            </w:r>
          </w:p>
        </w:tc>
        <w:tc>
          <w:tcPr>
            <w:tcW w:type="dxa" w:w="1663"/>
          </w:tcPr>
          <w:p>
            <w:pPr>
              <w:spacing w:before="0" w:after="0" w:line="264" w:lineRule="auto"/>
            </w:pPr>
            <w:r>
              <w:rPr>
                <w:rFonts w:ascii="Arial" w:hAnsi="Arial" w:cs="Arial" w:eastAsia="Arial"/>
                <w:color w:val="0E1E3A"/>
                <w:sz w:val="17"/>
                <w:szCs w:val="17"/>
              </w:rPr>
              <w:t>4.43%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0.72%</w:t>
            </w:r>
          </w:p>
        </w:tc>
        <w:tc>
          <w:tcPr>
            <w:tcW w:type="dxa" w:w="1663"/>
          </w:tcPr>
          <w:p>
            <w:pPr>
              <w:spacing w:before="0" w:after="0" w:line="264" w:lineRule="auto"/>
            </w:pPr>
            <w:r>
              <w:rPr>
                <w:rFonts w:ascii="Arial" w:hAnsi="Arial" w:cs="Arial" w:eastAsia="Arial"/>
                <w:color w:val="0E1E3A"/>
                <w:sz w:val="17"/>
                <w:szCs w:val="17"/>
              </w:rPr>
              <w:t>1.36%</w:t>
            </w:r>
          </w:p>
        </w:tc>
        <w:tc>
          <w:tcPr>
            <w:tcW w:type="dxa" w:w="1663"/>
          </w:tcPr>
          <w:p>
            <w:pPr>
              <w:spacing w:before="0" w:after="0" w:line="264" w:lineRule="auto"/>
            </w:pPr>
            <w:r>
              <w:rPr>
                <w:rFonts w:ascii="Arial" w:hAnsi="Arial" w:cs="Arial" w:eastAsia="Arial"/>
                <w:color w:val="0E1E3A"/>
                <w:sz w:val="17"/>
                <w:szCs w:val="17"/>
              </w:rPr>
              <w:t>2.53%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 per Unit plus dividend distributions.</w:t>
      </w:r>
      <w:r>
        <w:br/>
      </w:r>
      <w:r>
        <w:rPr>
          <w:rFonts w:ascii="Arial" w:hAnsi="Arial" w:cs="Arial" w:eastAsia="Arial"/>
          <w:color w:val="5A6478"/>
          <w:sz w:val="17"/>
          <w:szCs w:val="17"/>
        </w:rPr>
        <w:t>** For the period from 1 April 2026 to 30 June 2026.</w:t>
      </w:r>
      <w:r>
        <w:br/>
      </w:r>
      <w:r>
        <w:rPr>
          <w:rFonts w:ascii="Arial" w:hAnsi="Arial" w:cs="Arial" w:eastAsia="Arial"/>
          <w:color w:val="5A6478"/>
          <w:sz w:val="17"/>
          <w:szCs w:val="17"/>
        </w:rPr>
        <w:t>*** For the period from 30 June 2025 to 30 June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Q2)</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26.04</w:t>
            </w:r>
          </w:p>
        </w:tc>
        <w:tc>
          <w:tcPr>
            <w:tcW w:type="dxa" w:w="1663"/>
          </w:tcPr>
          <w:p>
            <w:pPr>
              <w:spacing w:before="0" w:after="0" w:line="264" w:lineRule="auto"/>
            </w:pPr>
            <w:r>
              <w:rPr>
                <w:rFonts w:ascii="Arial" w:hAnsi="Arial" w:cs="Arial" w:eastAsia="Arial"/>
                <w:color w:val="0E1E3A"/>
                <w:sz w:val="17"/>
                <w:szCs w:val="17"/>
              </w:rPr>
              <w:t>20.75</w:t>
            </w:r>
          </w:p>
        </w:tc>
        <w:tc>
          <w:tcPr>
            <w:tcW w:type="dxa" w:w="1663"/>
          </w:tcPr>
          <w:p>
            <w:pPr>
              <w:spacing w:before="0" w:after="0" w:line="264" w:lineRule="auto"/>
            </w:pPr>
            <w:r>
              <w:rPr>
                <w:rFonts w:ascii="Arial" w:hAnsi="Arial" w:cs="Arial" w:eastAsia="Arial"/>
                <w:color w:val="0E1E3A"/>
                <w:sz w:val="17"/>
                <w:szCs w:val="17"/>
              </w:rPr>
              <w:t>15.38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-1.16</w:t>
            </w:r>
          </w:p>
        </w:tc>
        <w:tc>
          <w:tcPr>
            <w:tcW w:type="dxa" w:w="1663"/>
          </w:tcPr>
          <w:p>
            <w:pPr>
              <w:spacing w:before="0" w:after="0" w:line="264" w:lineRule="auto"/>
            </w:pPr>
            <w:r>
              <w:rPr>
                <w:rFonts w:ascii="Arial" w:hAnsi="Arial" w:cs="Arial" w:eastAsia="Arial"/>
                <w:color w:val="0E1E3A"/>
                <w:sz w:val="17"/>
                <w:szCs w:val="17"/>
              </w:rPr>
              <w:t>-0.33</w:t>
            </w:r>
          </w:p>
        </w:tc>
        <w:tc>
          <w:tcPr>
            <w:tcW w:type="dxa" w:w="1663"/>
          </w:tcPr>
          <w:p>
            <w:pPr>
              <w:spacing w:before="0" w:after="0" w:line="264" w:lineRule="auto"/>
            </w:pPr>
            <w:r>
              <w:rPr>
                <w:rFonts w:ascii="Arial" w:hAnsi="Arial" w:cs="Arial" w:eastAsia="Arial"/>
                <w:color w:val="0E1E3A"/>
                <w:sz w:val="17"/>
                <w:szCs w:val="17"/>
              </w:rPr>
              <w:t>0.16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0.26</w:t>
            </w:r>
          </w:p>
        </w:tc>
        <w:tc>
          <w:tcPr>
            <w:tcW w:type="dxa" w:w="1663"/>
          </w:tcPr>
          <w:p>
            <w:pPr>
              <w:spacing w:before="0" w:after="0" w:line="264" w:lineRule="auto"/>
            </w:pPr>
            <w:r>
              <w:rPr>
                <w:rFonts w:ascii="Arial" w:hAnsi="Arial" w:cs="Arial" w:eastAsia="Arial"/>
                <w:color w:val="0E1E3A"/>
                <w:sz w:val="17"/>
                <w:szCs w:val="17"/>
              </w:rPr>
              <w:t>0.21</w:t>
            </w:r>
          </w:p>
        </w:tc>
        <w:tc>
          <w:tcPr>
            <w:tcW w:type="dxa" w:w="1663"/>
          </w:tcPr>
          <w:p>
            <w:pPr>
              <w:spacing w:before="0" w:after="0" w:line="264" w:lineRule="auto"/>
            </w:pPr>
            <w:r>
              <w:rPr>
                <w:rFonts w:ascii="Arial" w:hAnsi="Arial" w:cs="Arial" w:eastAsia="Arial"/>
                <w:color w:val="0E1E3A"/>
                <w:sz w:val="17"/>
                <w:szCs w:val="17"/>
              </w:rPr>
              <w:t>0.15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188.47</w:t>
            </w:r>
          </w:p>
        </w:tc>
        <w:tc>
          <w:tcPr>
            <w:tcW w:type="dxa" w:w="1663"/>
          </w:tcPr>
          <w:p>
            <w:pPr>
              <w:spacing w:before="0" w:after="0" w:line="264" w:lineRule="auto"/>
            </w:pPr>
            <w:r>
              <w:rPr>
                <w:rFonts w:ascii="Arial" w:hAnsi="Arial" w:cs="Arial" w:eastAsia="Arial"/>
                <w:color w:val="0E1E3A"/>
                <w:sz w:val="17"/>
                <w:szCs w:val="17"/>
              </w:rPr>
              <w:t>-144.55</w:t>
            </w:r>
          </w:p>
        </w:tc>
        <w:tc>
          <w:tcPr>
            <w:tcW w:type="dxa" w:w="1663"/>
          </w:tcPr>
          <w:p>
            <w:pPr>
              <w:spacing w:before="0" w:after="0" w:line="264" w:lineRule="auto"/>
            </w:pPr>
            <w:r>
              <w:rPr>
                <w:rFonts w:ascii="Arial" w:hAnsi="Arial" w:cs="Arial" w:eastAsia="Arial"/>
                <w:color w:val="0E1E3A"/>
                <w:sz w:val="17"/>
                <w:szCs w:val="17"/>
              </w:rPr>
              <w:t>-36.97</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-8.87</w:t>
            </w:r>
          </w:p>
        </w:tc>
        <w:tc>
          <w:tcPr>
            <w:tcW w:type="dxa" w:w="1663"/>
          </w:tcPr>
          <w:p>
            <w:pPr>
              <w:spacing w:before="0" w:after="0" w:line="264" w:lineRule="auto"/>
            </w:pPr>
            <w:r>
              <w:rPr>
                <w:rFonts w:ascii="Arial" w:hAnsi="Arial" w:cs="Arial" w:eastAsia="Arial"/>
                <w:color w:val="0E1E3A"/>
                <w:sz w:val="17"/>
                <w:szCs w:val="17"/>
              </w:rPr>
              <w:t>6.39</w:t>
            </w:r>
          </w:p>
        </w:tc>
        <w:tc>
          <w:tcPr>
            <w:tcW w:type="dxa" w:w="1663"/>
          </w:tcPr>
          <w:p>
            <w:pPr>
              <w:spacing w:before="0" w:after="0" w:line="264" w:lineRule="auto"/>
            </w:pPr>
            <w:r>
              <w:rPr>
                <w:rFonts w:ascii="Arial" w:hAnsi="Arial" w:cs="Arial" w:eastAsia="Arial"/>
                <w:color w:val="0E1E3A"/>
                <w:sz w:val="17"/>
                <w:szCs w:val="17"/>
              </w:rPr>
              <w:t>1.68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-1.14</w:t>
            </w:r>
          </w:p>
        </w:tc>
        <w:tc>
          <w:tcPr>
            <w:tcW w:type="dxa" w:w="1663"/>
          </w:tcPr>
          <w:p>
            <w:pPr>
              <w:spacing w:before="0" w:after="0" w:line="264" w:lineRule="auto"/>
            </w:pPr>
            <w:r>
              <w:rPr>
                <w:rFonts w:ascii="Arial" w:hAnsi="Arial" w:cs="Arial" w:eastAsia="Arial"/>
                <w:color w:val="0E1E3A"/>
                <w:sz w:val="17"/>
                <w:szCs w:val="17"/>
              </w:rPr>
              <w:t>-0.36</w:t>
            </w:r>
          </w:p>
        </w:tc>
        <w:tc>
          <w:tcPr>
            <w:tcW w:type="dxa" w:w="1663"/>
          </w:tcPr>
          <w:p>
            <w:pPr>
              <w:spacing w:before="0" w:after="0" w:line="264" w:lineRule="auto"/>
            </w:pPr>
            <w:r>
              <w:rPr>
                <w:rFonts w:ascii="Arial" w:hAnsi="Arial" w:cs="Arial" w:eastAsia="Arial"/>
                <w:color w:val="0E1E3A"/>
                <w:sz w:val="17"/>
                <w:szCs w:val="17"/>
              </w:rPr>
              <w:t>0.41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April 2026 to 30 June 2026.</w:t>
      </w:r>
      <w:r>
        <w:br/>
      </w:r>
      <w:r>
        <w:rPr>
          <w:rFonts w:ascii="Arial" w:hAnsi="Arial" w:cs="Arial" w:eastAsia="Arial"/>
          <w:color w:val="5A6478"/>
          <w:sz w:val="17"/>
          <w:szCs w:val="17"/>
        </w:rPr>
        <w:t>** For the period from 30 June 2025 to 30 June 2026.</w:t>
      </w:r>
      <w:r>
        <w:br/>
      </w: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23"/>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r>
        <w:tc>
          <w:tcPr>
            <w:tcW w:type="dxa" w:w="3326"/>
          </w:tcPr>
          <w:p>
            <w:pPr>
              <w:spacing w:before="0" w:after="0" w:line="264" w:lineRule="auto"/>
            </w:pPr>
            <w:r>
              <w:rPr>
                <w:rFonts w:ascii="Arial" w:hAnsi="Arial" w:cs="Arial" w:eastAsia="Arial"/>
                <w:color w:val="0E1E3A"/>
                <w:sz w:val="17"/>
                <w:szCs w:val="17"/>
              </w:rPr>
              <w:t>Information Ratio</w:t>
            </w:r>
          </w:p>
        </w:tc>
        <w:tc>
          <w:tcPr>
            <w:tcW w:type="dxa" w:w="3326"/>
          </w:tcPr>
          <w:p>
            <w:pPr>
              <w:spacing w:before="0" w:after="0" w:line="264" w:lineRule="auto"/>
            </w:pPr>
            <w:r>
              <w:rPr>
                <w:rFonts w:ascii="Arial" w:hAnsi="Arial" w:cs="Arial" w:eastAsia="Arial"/>
                <w:color w:val="0E1E3A"/>
                <w:sz w:val="17"/>
                <w:szCs w:val="17"/>
              </w:rPr>
              <w:t>IR = (Rp − Rb) / σ (Rp −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 Return of the portfolio</w:t>
            </w:r>
            <w:r>
              <w:br/>
            </w:r>
            <w:r>
              <w:rPr>
                <w:rFonts w:ascii="Arial" w:hAnsi="Arial" w:cs="Arial" w:eastAsia="Arial"/>
                <w:color w:val="0E1E3A"/>
                <w:sz w:val="17"/>
                <w:szCs w:val="17"/>
              </w:rPr>
              <w:t>Rb = Return of the benchmark</w:t>
            </w:r>
            <w:r>
              <w:br/>
            </w:r>
            <w:r>
              <w:rPr>
                <w:rFonts w:ascii="Arial" w:hAnsi="Arial" w:cs="Arial" w:eastAsia="Arial"/>
                <w:color w:val="0E1E3A"/>
                <w:sz w:val="17"/>
                <w:szCs w:val="17"/>
              </w:rPr>
              <w:t>Rp-Rb = Active return (the difference between portfolio and benchmark returns</w:t>
            </w:r>
            <w:r>
              <w:br/>
            </w:r>
            <w:r>
              <w:rPr>
                <w:rFonts w:ascii="Arial" w:hAnsi="Arial" w:cs="Arial" w:eastAsia="Arial"/>
                <w:color w:val="0E1E3A"/>
                <w:sz w:val="17"/>
                <w:szCs w:val="17"/>
              </w:rPr>
              <w:t>σ(Rp−Rb) = Tracking error (standard deviation of the active return)</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24"/>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Performance Since the Inception of the Fund:</w:t>
      </w:r>
    </w:p>
    <w:p>
      <w:pPr>
        <w:spacing w:before="0" w:after="80" w:line="240" w:lineRule="auto"/>
        <w:jc w:val="center"/>
      </w:pPr>
      <w:r>
        <w:drawing>
          <wp:inline xmlns:a="http://schemas.openxmlformats.org/drawingml/2006/main" xmlns:pic="http://schemas.openxmlformats.org/drawingml/2006/picture">
            <wp:extent cx="6336000" cy="2730378"/>
            <wp:docPr id="22" name="Picture 9025"/>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As at 30 June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26"/>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27"/>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2030, nor shall it (or any part of it) form the basis of, or be relied on, in connection with, or act as inducement to enter into any contract whatsoever. Prospective investors should read carefully Alkhabeer Diversified Income Traded Fund’s 2030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2030 — Quarterly Statement Q2 2026</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