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9"/>
            <wp:cNvGraphicFramePr/>
            <a:graphic>
              <a:graphicData uri="http://schemas.openxmlformats.org/drawingml/2006/picture">
                <pic:pic>
                  <pic:nvPicPr>
                    <pic:cNvPr id="9039" name="banner903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4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يركز مدير الصندوق على الاستثمار في محفظة متنوعة من الأسهم العالمية، حيث تشمل استثمارات الصندوق الاستثمار في أسهم الشركات بكافة قطاعاتها، والمتداولة في الأسواق العالمية؛ ومن بينها المملكة العربية السعودية، والولايات المتحدة الامريكية، وجمهورية الصين الشعبية، واليابان، وسويسرا، والمملكة المتحدة البريطانية، وفرنسا، وألمانيا، وكندا. وسيتم الاستثمار في تلك الأسواق طبقًا لعملة كل بلد. بالإضافة إلى ذلك، سيقوم مدير الصندوق بالاستثمار في صناديق الأسهم العامة والخاصة والتي تدار منِقبل مديري صناديق مرخص لهم منِقبل الهيئة، أو جهة مماثلة في حال الاستثمار خارج المملكة العربية السعودية، حيث تشمل هذه الصناديق أسهم شركات ذات قيم سوقية مختلفة في دول وقطاعات متنوعة. كما ينوي مدير الصندوق الاستثمار في الطروحات الأولية للاكتتاب العام، والتي سيتم إدراجها في أسواق الأسهم المختلفة، بالإضافة إلى الاكتتاب في زيادات رأس المال للشركات المدرجة، والشركات غير المدرجة المقبلة على الطرح الأولي للاكتتاب العام من خلال المساهمة في الطروحات الخاصة المقبلة على الطرح الأولي للاكتتاب العام، والنقد وما في حكمه، المتوافقة مع الأحكام الشرعية ومبادئها، لتحقيق نمو طويل الأجل، وتحقيق دخل دوري من عوائد الأسهم والأرباح على رأس المال.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11.7366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w:t>
            </w:r>
          </w:p>
        </w:tc>
        <w:tc>
          <w:tcPr>
            <w:tcW w:type="dxa" w:w="6860"/>
          </w:tcPr>
          <w:p>
            <w:pPr>
              <w:bidi w:val="1"/>
              <w:spacing w:before="0" w:after="0" w:line="276" w:lineRule="auto"/>
            </w:pPr>
            <w:r>
              <w:rPr>
                <w:rFonts w:ascii="Arial" w:hAnsi="Arial" w:cs="Arial" w:eastAsia="Arial"/>
                <w:b/>
                <w:bCs/>
                <w:color w:val="0E1E3A"/>
                <w:sz w:val="18"/>
                <w:szCs w:val="18"/>
                <w:rtl/>
              </w:rPr>
              <w:t>753,788,228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مفتوح</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29 يونيو 2026م (غير مدققة).</w:t>
      </w:r>
      <w:r>
        <w:br/>
      </w:r>
      <w:r>
        <w:rPr>
          <w:rFonts w:ascii="Arial" w:hAnsi="Arial" w:cs="Arial" w:eastAsia="Arial"/>
          <w:color w:val="5A6478"/>
          <w:sz w:val="17"/>
          <w:szCs w:val="17"/>
          <w:rtl/>
        </w:rPr>
        <w:t>تم اعتماد تاريخ 29 يونيو 2026 تاريخاً للقطع، لكونه آخر تاريخ لصافي قيمة الأصول (NAV) عقب تحويل الصندوق إلى صندوق مفتوح.</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قل انحراف أداء الصندوق عن أداء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pStyle w:val="Heading3"/>
        <w:keepNext/>
        <w:bidi w:val="1"/>
        <w:spacing w:before="160" w:after="100" w:line="300" w:lineRule="auto"/>
      </w:pPr>
      <w:r>
        <w:rPr>
          <w:rFonts w:ascii="Arial" w:hAnsi="Arial" w:cs="Arial" w:eastAsia="Arial"/>
          <w:b/>
          <w:bCs/>
          <w:color w:val="12284B"/>
          <w:sz w:val="22"/>
          <w:szCs w:val="22"/>
          <w:rtl/>
        </w:rPr>
        <w:t>نظرة عامة على الأسواق العالمية</w:t>
      </w:r>
    </w:p>
    <w:p>
      <w:pPr>
        <w:bidi w:val="1"/>
        <w:spacing w:before="0" w:after="80" w:line="312" w:lineRule="auto"/>
      </w:pPr>
      <w:r>
        <w:rPr>
          <w:rFonts w:ascii="Arial" w:hAnsi="Arial" w:cs="Arial" w:eastAsia="Arial"/>
          <w:color w:val="0E1E3A"/>
          <w:sz w:val="20"/>
          <w:szCs w:val="20"/>
          <w:rtl/>
        </w:rPr>
        <w:t xml:space="preserve">حققت أسواق الأسهم العالمية تعافيًا قويًا خلال الربع الثاني من العام 2026م، مدعومة بتحسن معنويات المستثمرين، واستمرار قوة أرباح الشركات، واتباع البنوك المركزية نهجًا أكثر توازنًا في توجيهاتها المتعلقة بالسياسة النقدية. وارتفع مؤشر الخبير للأسهم العالمية (AGEI) بنسبة </w:t>
      </w:r>
      <w:r>
        <w:rPr>
          <w:rFonts w:ascii="Arial" w:hAnsi="Arial" w:cs="Arial" w:eastAsia="Arial"/>
          <w:color w:val="0E1E3A"/>
          <w:sz w:val="20"/>
          <w:szCs w:val="20"/>
        </w:rPr>
        <w:t>‎12.22%‎</w:t>
      </w:r>
      <w:r>
        <w:rPr>
          <w:rFonts w:ascii="Arial" w:hAnsi="Arial" w:cs="Arial" w:eastAsia="Arial"/>
          <w:color w:val="0E1E3A"/>
          <w:sz w:val="20"/>
          <w:szCs w:val="20"/>
          <w:rtl/>
        </w:rPr>
        <w:t xml:space="preserve"> خلال الربع الثاني. وعلى الرغم من الأداء الإيجابي للأسواق، ظلت مستويات التقلب مرتفعة نتيجة التطورات الجيوسياسية واستمرار حالة عدم اليقين بشأن أسعار الطاقة.</w:t>
      </w:r>
    </w:p>
    <w:p>
      <w:pPr>
        <w:bidi w:val="1"/>
        <w:spacing w:before="0" w:after="80" w:line="312" w:lineRule="auto"/>
      </w:pPr>
      <w:r>
        <w:rPr>
          <w:rFonts w:ascii="Arial" w:hAnsi="Arial" w:cs="Arial" w:eastAsia="Arial"/>
          <w:color w:val="0E1E3A"/>
          <w:sz w:val="20"/>
          <w:szCs w:val="20"/>
          <w:rtl/>
        </w:rPr>
        <w:t xml:space="preserve">واصل الاقتصاد الأمريكي نموه بوتيرة جيدة، مع استقرار معدل البطالة عند نحو </w:t>
      </w:r>
      <w:r>
        <w:rPr>
          <w:rFonts w:ascii="Arial" w:hAnsi="Arial" w:cs="Arial" w:eastAsia="Arial"/>
          <w:color w:val="0E1E3A"/>
          <w:sz w:val="20"/>
          <w:szCs w:val="20"/>
        </w:rPr>
        <w:t>‎4.3%‎</w:t>
      </w:r>
      <w:r>
        <w:rPr>
          <w:rFonts w:ascii="Arial" w:hAnsi="Arial" w:cs="Arial" w:eastAsia="Arial"/>
          <w:color w:val="0E1E3A"/>
          <w:sz w:val="20"/>
          <w:szCs w:val="20"/>
          <w:rtl/>
        </w:rPr>
        <w:t xml:space="preserve">، وارتفاع معدل التضخم السنوي إلى </w:t>
      </w:r>
      <w:r>
        <w:rPr>
          <w:rFonts w:ascii="Arial" w:hAnsi="Arial" w:cs="Arial" w:eastAsia="Arial"/>
          <w:color w:val="0E1E3A"/>
          <w:sz w:val="20"/>
          <w:szCs w:val="20"/>
        </w:rPr>
        <w:t>‎4.2%‎</w:t>
      </w:r>
      <w:r>
        <w:rPr>
          <w:rFonts w:ascii="Arial" w:hAnsi="Arial" w:cs="Arial" w:eastAsia="Arial"/>
          <w:color w:val="0E1E3A"/>
          <w:sz w:val="20"/>
          <w:szCs w:val="20"/>
          <w:rtl/>
        </w:rPr>
        <w:t xml:space="preserve"> في شهر مايو، مدفوعًا بشكل رئيسي بارتفاع أسعار الطاقة. وأبقى الاحتياطي الفيدرالي الأمريكي أسعار الفائدة دون تغيير ضمن نطاق </w:t>
      </w:r>
      <w:r>
        <w:rPr>
          <w:rFonts w:ascii="Arial" w:hAnsi="Arial" w:cs="Arial" w:eastAsia="Arial"/>
          <w:color w:val="0E1E3A"/>
          <w:sz w:val="20"/>
          <w:szCs w:val="20"/>
        </w:rPr>
        <w:t>‎3.50%‎</w:t>
      </w:r>
      <w:r>
        <w:rPr>
          <w:rFonts w:ascii="Arial" w:hAnsi="Arial" w:cs="Arial" w:eastAsia="Arial"/>
          <w:color w:val="0E1E3A"/>
          <w:sz w:val="20"/>
          <w:szCs w:val="20"/>
          <w:rtl/>
        </w:rPr>
        <w:t xml:space="preserve"> إلى </w:t>
      </w:r>
      <w:r>
        <w:rPr>
          <w:rFonts w:ascii="Arial" w:hAnsi="Arial" w:cs="Arial" w:eastAsia="Arial"/>
          <w:color w:val="0E1E3A"/>
          <w:sz w:val="20"/>
          <w:szCs w:val="20"/>
        </w:rPr>
        <w:t>‎3.75%‎</w:t>
      </w:r>
      <w:r>
        <w:rPr>
          <w:rFonts w:ascii="Arial" w:hAnsi="Arial" w:cs="Arial" w:eastAsia="Arial"/>
          <w:color w:val="0E1E3A"/>
          <w:sz w:val="20"/>
          <w:szCs w:val="20"/>
          <w:rtl/>
        </w:rPr>
        <w:t>، مع تبني موقف حذر في ظل استمرار ارتفاع معدلات التضخم. كما سجلت أسواق الأسهم الأوروبية أداءً إيجابيًا مع استقرار أسعار الطاقة، رغم استمرار التوقعات المتحفظة بشأن النمو الاقتصادي في المنطقة. وفي المقابل، استفادت الأسواق الناشئة من جاذبية تقييماتها وارتفاع أرباح الشركات، رغم استمرار حالة عدم اليقين الجيوسياسي.</w:t>
      </w:r>
    </w:p>
    <w:p>
      <w:pPr>
        <w:bidi w:val="1"/>
        <w:spacing w:before="0" w:after="80" w:line="312" w:lineRule="auto"/>
      </w:pPr>
      <w:r>
        <w:rPr>
          <w:rFonts w:ascii="Arial" w:hAnsi="Arial" w:cs="Arial" w:eastAsia="Arial"/>
          <w:color w:val="0E1E3A"/>
          <w:sz w:val="20"/>
          <w:szCs w:val="20"/>
          <w:rtl/>
        </w:rPr>
        <w:t xml:space="preserve">وبحسب تقرير آفاق الاقتصاد العالمي الصادر عن صندوق النقد الدولي في أبريل 2026م، من المتوقع أن يبلغ معدل نمو الاقتصاد العالمي </w:t>
      </w:r>
      <w:r>
        <w:rPr>
          <w:rFonts w:ascii="Arial" w:hAnsi="Arial" w:cs="Arial" w:eastAsia="Arial"/>
          <w:color w:val="0E1E3A"/>
          <w:sz w:val="20"/>
          <w:szCs w:val="20"/>
        </w:rPr>
        <w:t>‎3.1%‎</w:t>
      </w:r>
      <w:r>
        <w:rPr>
          <w:rFonts w:ascii="Arial" w:hAnsi="Arial" w:cs="Arial" w:eastAsia="Arial"/>
          <w:color w:val="0E1E3A"/>
          <w:sz w:val="20"/>
          <w:szCs w:val="20"/>
          <w:rtl/>
        </w:rPr>
        <w:t xml:space="preserve"> خلال العام 2026م، بعد مراجعة التوقعات بالخفض نتيجة التداعيات الجيوسياسية. كما يُتوقع أن تحقق الاقتصادات المتقدمة نموًا بنسبة </w:t>
      </w:r>
      <w:r>
        <w:rPr>
          <w:rFonts w:ascii="Arial" w:hAnsi="Arial" w:cs="Arial" w:eastAsia="Arial"/>
          <w:color w:val="0E1E3A"/>
          <w:sz w:val="20"/>
          <w:szCs w:val="20"/>
        </w:rPr>
        <w:t>‎1.8%‎</w:t>
      </w:r>
      <w:r>
        <w:rPr>
          <w:rFonts w:ascii="Arial" w:hAnsi="Arial" w:cs="Arial" w:eastAsia="Arial"/>
          <w:color w:val="0E1E3A"/>
          <w:sz w:val="20"/>
          <w:szCs w:val="20"/>
          <w:rtl/>
        </w:rPr>
        <w:t xml:space="preserve">، والأسواق الناشئة </w:t>
      </w:r>
      <w:r>
        <w:rPr>
          <w:rFonts w:ascii="Arial" w:hAnsi="Arial" w:cs="Arial" w:eastAsia="Arial"/>
          <w:color w:val="0E1E3A"/>
          <w:sz w:val="20"/>
          <w:szCs w:val="20"/>
        </w:rPr>
        <w:t>‎3.9%‎</w:t>
      </w:r>
      <w:r>
        <w:rPr>
          <w:rFonts w:ascii="Arial" w:hAnsi="Arial" w:cs="Arial" w:eastAsia="Arial"/>
          <w:color w:val="0E1E3A"/>
          <w:sz w:val="20"/>
          <w:szCs w:val="20"/>
          <w:rtl/>
        </w:rPr>
        <w:t xml:space="preserve">. وتشير التوقعات إلى نمو اقتصاد المملكة العربية السعودية بنسبة </w:t>
      </w:r>
      <w:r>
        <w:rPr>
          <w:rFonts w:ascii="Arial" w:hAnsi="Arial" w:cs="Arial" w:eastAsia="Arial"/>
          <w:color w:val="0E1E3A"/>
          <w:sz w:val="20"/>
          <w:szCs w:val="20"/>
        </w:rPr>
        <w:t>‎3.1%‎</w:t>
      </w:r>
      <w:r>
        <w:rPr>
          <w:rFonts w:ascii="Arial" w:hAnsi="Arial" w:cs="Arial" w:eastAsia="Arial"/>
          <w:color w:val="0E1E3A"/>
          <w:sz w:val="20"/>
          <w:szCs w:val="20"/>
          <w:rtl/>
        </w:rPr>
        <w:t xml:space="preserve">، والصين بنسبة </w:t>
      </w:r>
      <w:r>
        <w:rPr>
          <w:rFonts w:ascii="Arial" w:hAnsi="Arial" w:cs="Arial" w:eastAsia="Arial"/>
          <w:color w:val="0E1E3A"/>
          <w:sz w:val="20"/>
          <w:szCs w:val="20"/>
        </w:rPr>
        <w:t>‎4.4%‎</w:t>
      </w:r>
      <w:r>
        <w:rPr>
          <w:rFonts w:ascii="Arial" w:hAnsi="Arial" w:cs="Arial" w:eastAsia="Arial"/>
          <w:color w:val="0E1E3A"/>
          <w:sz w:val="20"/>
          <w:szCs w:val="20"/>
          <w:rtl/>
        </w:rPr>
        <w:t xml:space="preserve">، والهند بنسبة </w:t>
      </w:r>
      <w:r>
        <w:rPr>
          <w:rFonts w:ascii="Arial" w:hAnsi="Arial" w:cs="Arial" w:eastAsia="Arial"/>
          <w:color w:val="0E1E3A"/>
          <w:sz w:val="20"/>
          <w:szCs w:val="20"/>
        </w:rPr>
        <w:t>‎6.5%‎</w:t>
      </w:r>
      <w:r>
        <w:rPr>
          <w:rFonts w:ascii="Arial" w:hAnsi="Arial" w:cs="Arial" w:eastAsia="Arial"/>
          <w:color w:val="0E1E3A"/>
          <w:sz w:val="20"/>
          <w:szCs w:val="20"/>
          <w:rtl/>
        </w:rPr>
        <w:t xml:space="preserve"> خلال العام 2026م. وبالنظر إلى الفترة المقبلة، من المرجح أن تظل التطورات الجيوسياسية، وتحركات أسعار السلع الأساسية، وقرارات البنوك المركزية من أبرز العوامل المؤثرة على مستويات تقلب أسواق الأسهم. ومع ذلك، في حال تراجعت الضغوط التضخمية تدريجيًا، واستقرت أسعار الطاقة، وحافظت الشركات على مرونة أرباحها الحالية، فإن أسواق الأسهم العالمية قد تجد دعمًا ملموسًا خلال الفترات المقبلة.</w:t>
      </w:r>
    </w:p>
    <w:p>
      <w:pPr>
        <w:pStyle w:val="Heading3"/>
        <w:keepNext/>
        <w:bidi w:val="1"/>
        <w:spacing w:before="160" w:after="100" w:line="300" w:lineRule="auto"/>
      </w:pPr>
      <w:r>
        <w:rPr>
          <w:rFonts w:ascii="Arial" w:hAnsi="Arial" w:cs="Arial" w:eastAsia="Arial"/>
          <w:b/>
          <w:bCs/>
          <w:color w:val="12284B"/>
          <w:sz w:val="22"/>
          <w:szCs w:val="22"/>
          <w:rtl/>
        </w:rPr>
        <w:t>أداء الصندوق</w:t>
      </w:r>
    </w:p>
    <w:p>
      <w:pPr>
        <w:bidi w:val="1"/>
        <w:spacing w:before="0" w:after="80" w:line="312" w:lineRule="auto"/>
      </w:pPr>
      <w:r>
        <w:rPr>
          <w:rFonts w:ascii="Arial" w:hAnsi="Arial" w:cs="Arial" w:eastAsia="Arial"/>
          <w:color w:val="0E1E3A"/>
          <w:sz w:val="20"/>
          <w:szCs w:val="20"/>
          <w:rtl/>
        </w:rPr>
        <w:t xml:space="preserve">يتبع صندوق "الخبير للنمو والدخل" استراتيجية استثمارية تعتمد على منهجية الاستثمار الأساسي والتكميلي (Core-Satellite)، حيث يتم تخصيص ما لا يقل عن </w:t>
      </w:r>
      <w:r>
        <w:rPr>
          <w:rFonts w:ascii="Arial" w:hAnsi="Arial" w:cs="Arial" w:eastAsia="Arial"/>
          <w:color w:val="0E1E3A"/>
          <w:sz w:val="20"/>
          <w:szCs w:val="20"/>
        </w:rPr>
        <w:t>‎75%‎</w:t>
      </w:r>
      <w:r>
        <w:rPr>
          <w:rFonts w:ascii="Arial" w:hAnsi="Arial" w:cs="Arial" w:eastAsia="Arial"/>
          <w:color w:val="0E1E3A"/>
          <w:sz w:val="20"/>
          <w:szCs w:val="20"/>
          <w:rtl/>
        </w:rPr>
        <w:t xml:space="preserve"> من أصول الصندوق لاستثمارات أساسية تتماشى مع المؤشر المرجعي، فيما تتم إدارة النسبة المتبقية بصورة نشطة من خلال الاستثمار في الصناديق، والطروحات الأولية، والطروحات الخاصة قبل الإدراج، وأدوات أسواق النقد.</w:t>
      </w:r>
    </w:p>
    <w:p>
      <w:pPr>
        <w:bidi w:val="1"/>
        <w:spacing w:before="0" w:after="80" w:line="312" w:lineRule="auto"/>
      </w:pPr>
      <w:r>
        <w:rPr>
          <w:rFonts w:ascii="Arial" w:hAnsi="Arial" w:cs="Arial" w:eastAsia="Arial"/>
          <w:color w:val="0E1E3A"/>
          <w:sz w:val="20"/>
          <w:szCs w:val="20"/>
          <w:rtl/>
        </w:rPr>
        <w:t xml:space="preserve">حقق الصندوق خلال الربع الثاني من العام 2026م عائدًا إجماليًا صافيًا بنسبة </w:t>
      </w:r>
      <w:r>
        <w:rPr>
          <w:rFonts w:ascii="Arial" w:hAnsi="Arial" w:cs="Arial" w:eastAsia="Arial"/>
          <w:color w:val="0E1E3A"/>
          <w:sz w:val="20"/>
          <w:szCs w:val="20"/>
        </w:rPr>
        <w:t>‎12.72%‎</w:t>
      </w:r>
      <w:r>
        <w:rPr>
          <w:rFonts w:ascii="Arial" w:hAnsi="Arial" w:cs="Arial" w:eastAsia="Arial"/>
          <w:color w:val="0E1E3A"/>
          <w:sz w:val="20"/>
          <w:szCs w:val="20"/>
          <w:rtl/>
        </w:rPr>
        <w:t xml:space="preserve">، متفوقًا على أداء المؤشر المرجعي (AGEI) الذي سجل </w:t>
      </w:r>
      <w:r>
        <w:rPr>
          <w:rFonts w:ascii="Arial" w:hAnsi="Arial" w:cs="Arial" w:eastAsia="Arial"/>
          <w:color w:val="0E1E3A"/>
          <w:sz w:val="20"/>
          <w:szCs w:val="20"/>
        </w:rPr>
        <w:t>‎12.22%‎</w:t>
      </w:r>
      <w:r>
        <w:rPr>
          <w:rFonts w:ascii="Arial" w:hAnsi="Arial" w:cs="Arial" w:eastAsia="Arial"/>
          <w:color w:val="0E1E3A"/>
          <w:sz w:val="20"/>
          <w:szCs w:val="20"/>
          <w:rtl/>
        </w:rPr>
        <w:t>، ووفقًا لتحليل مصادر الأداء، جاء هذا التفوق نتيجة التوزيع النشط للأصول، لاسيما من خلال الاستثمار في الصناديق، إلى جانب التمركز الإيجابي في قطاعات الطاقة، والسلع الاستهلاكية الأساسية، والرعاية الصحية. وقد قابل هذه المساهمات الإيجابية أداء أقل من المتوقع في قطاع تقنية المعلومات. ويعكس تحقيق الصندوق لعائد إضافي إيجابي (Alpha) خلال الربع الثاني أثر هذه العوامل، ويؤكد أن الأداء جاء مدعومًا بفاعلية قرارات التوزيع الاستثماري والإدارة النشطة للمحفظة.</w:t>
      </w:r>
    </w:p>
    <w:p>
      <w:pPr>
        <w:pStyle w:val="Heading3"/>
        <w:keepNext/>
        <w:bidi w:val="1"/>
        <w:spacing w:before="160" w:after="100" w:line="300" w:lineRule="auto"/>
      </w:pPr>
      <w:r>
        <w:rPr>
          <w:rFonts w:ascii="Arial" w:hAnsi="Arial" w:cs="Arial" w:eastAsia="Arial"/>
          <w:b/>
          <w:bCs/>
          <w:color w:val="12284B"/>
          <w:sz w:val="22"/>
          <w:szCs w:val="22"/>
          <w:rtl/>
        </w:rPr>
        <w:t>أبرز أحداث الصندوق، وأي تغييرات أساسية أو غير أساسية تؤثر على أدائه</w:t>
      </w:r>
    </w:p>
    <w:p>
      <w:pPr>
        <w:pStyle w:val="Heading3"/>
        <w:keepNext/>
        <w:bidi w:val="1"/>
        <w:spacing w:before="160" w:after="100" w:line="300" w:lineRule="auto"/>
      </w:pPr>
      <w:r>
        <w:rPr>
          <w:rFonts w:ascii="Arial" w:hAnsi="Arial" w:cs="Arial" w:eastAsia="Arial"/>
          <w:b/>
          <w:bCs/>
          <w:color w:val="12284B"/>
          <w:sz w:val="22"/>
          <w:szCs w:val="22"/>
          <w:rtl/>
        </w:rPr>
        <w:t>التطورات الجوهرية للصندوق</w:t>
      </w:r>
    </w:p>
    <w:p>
      <w:pPr>
        <w:bidi w:val="1"/>
        <w:spacing w:before="0" w:after="80" w:line="312" w:lineRule="auto"/>
      </w:pPr>
      <w:r>
        <w:rPr>
          <w:rFonts w:ascii="Arial" w:hAnsi="Arial" w:cs="Arial" w:eastAsia="Arial"/>
          <w:color w:val="0E1E3A"/>
          <w:sz w:val="20"/>
          <w:szCs w:val="20"/>
          <w:rtl/>
        </w:rPr>
        <w:t>بعد دراسة توصيات مدير الصندوق، والأخذ في الاعتبار مصلحة جميع مالكي الوحدات والمحافظة على حقوقهم، بما في ذلك الالتزام بالمدد الزمنية النظامية ذات العلاقة، اعتمد مجلس إدارة الصندوق في 18 ديسمبر 2025م توصية مدير الصندوق بإلغاء إدراج الصندوق بصفته صندوقًا استثماريًا مغلقًا متداولاً وتحويله إلى صندوق استثمار عام مفتوح.</w:t>
      </w:r>
    </w:p>
    <w:p>
      <w:pPr>
        <w:bidi w:val="1"/>
        <w:spacing w:before="0" w:after="80" w:line="312" w:lineRule="auto"/>
      </w:pPr>
      <w:r>
        <w:rPr>
          <w:rFonts w:ascii="Arial" w:hAnsi="Arial" w:cs="Arial" w:eastAsia="Arial"/>
          <w:color w:val="0E1E3A"/>
          <w:sz w:val="20"/>
          <w:szCs w:val="20"/>
          <w:rtl/>
        </w:rPr>
        <w:t>وبعد الحصول على موافقة هيئة السوق المالية 20 مايو 2026م، وافق مالكو الوحدات في 14 يونيو 2026م على إلغاء إدراج الصندوق وتحويله إلى صندوق استثمار عام مفتوح.</w:t>
      </w:r>
    </w:p>
    <w:p>
      <w:pPr>
        <w:bidi w:val="1"/>
        <w:spacing w:before="0" w:after="80" w:line="312" w:lineRule="auto"/>
      </w:pPr>
      <w:r>
        <w:rPr>
          <w:rFonts w:ascii="Arial" w:hAnsi="Arial" w:cs="Arial" w:eastAsia="Arial"/>
          <w:color w:val="0E1E3A"/>
          <w:sz w:val="20"/>
          <w:szCs w:val="20"/>
          <w:rtl/>
        </w:rPr>
        <w:t>وعقب استكمال جميع الإجراءات النظامية، تم تعليق تداول وحدات الصندوق في السوق المالية السعودية (تداول) بتاريخ 18 يونيو 2026م، وبدأ الصندوق ممارسة أعماله بصفته صندوق استثمار عامًا مفتوحًا اعتبارًا من 29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 كما في نهاية الربع الثاني (29 يونيو 2026م)</w:t>
            </w:r>
          </w:p>
        </w:tc>
        <w:tc>
          <w:tcPr>
            <w:tcW w:type="dxa" w:w="6860"/>
          </w:tcPr>
          <w:p>
            <w:pPr>
              <w:bidi w:val="1"/>
              <w:spacing w:before="0" w:after="0" w:line="276" w:lineRule="auto"/>
            </w:pPr>
            <w:r>
              <w:rPr>
                <w:rFonts w:ascii="Arial" w:hAnsi="Arial" w:cs="Arial" w:eastAsia="Arial"/>
                <w:b/>
                <w:bCs/>
                <w:color w:val="0E1E3A"/>
                <w:sz w:val="18"/>
                <w:szCs w:val="18"/>
                <w:rtl/>
              </w:rPr>
              <w:t>11.7366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صافي قيمة الوحدة مقارنة بالربع السابق *</w:t>
            </w:r>
          </w:p>
        </w:tc>
        <w:tc>
          <w:tcPr>
            <w:tcW w:type="dxa" w:w="6860"/>
          </w:tcPr>
          <w:p>
            <w:pPr>
              <w:bidi w:val="1"/>
              <w:spacing w:before="0" w:after="0" w:line="276" w:lineRule="auto"/>
            </w:pPr>
            <w:r>
              <w:rPr>
                <w:rFonts w:ascii="Arial" w:hAnsi="Arial" w:cs="Arial" w:eastAsia="Arial"/>
                <w:b/>
                <w:bCs/>
                <w:color w:val="0E1E3A"/>
                <w:sz w:val="18"/>
                <w:szCs w:val="18"/>
              </w:rPr>
              <w:t>‎12.72%‎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749,688,586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21.1x</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صافي قيمة الوحدة في الربع السابق = 10.4120 ر.س. / 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 للربع</w:t>
            </w:r>
          </w:p>
        </w:tc>
        <w:tc>
          <w:tcPr>
            <w:tcW w:type="dxa" w:w="3326"/>
          </w:tcPr>
          <w:p>
            <w:pPr>
              <w:bidi w:val="1"/>
              <w:spacing w:before="0" w:after="0" w:line="264" w:lineRule="auto"/>
            </w:pPr>
            <w:r>
              <w:rPr>
                <w:rFonts w:ascii="Arial" w:hAnsi="Arial" w:cs="Arial" w:eastAsia="Arial"/>
                <w:color w:val="0E1E3A"/>
                <w:sz w:val="17"/>
                <w:szCs w:val="17"/>
                <w:rtl/>
              </w:rPr>
              <w:t>2,501,336 ر.س.</w:t>
            </w:r>
          </w:p>
        </w:tc>
        <w:tc>
          <w:tcPr>
            <w:tcW w:type="dxa" w:w="3326"/>
          </w:tcPr>
          <w:p>
            <w:pPr>
              <w:bidi w:val="1"/>
              <w:spacing w:before="0" w:after="0" w:line="264" w:lineRule="auto"/>
            </w:pPr>
            <w:r>
              <w:rPr>
                <w:rFonts w:ascii="Arial" w:hAnsi="Arial" w:cs="Arial" w:eastAsia="Arial"/>
                <w:color w:val="0E1E3A"/>
                <w:sz w:val="17"/>
                <w:szCs w:val="17"/>
              </w:rPr>
              <w:t>‎0.34%‎</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نسبة مصاريف التعامل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30,695 ر.س.</w:t>
            </w:r>
          </w:p>
        </w:tc>
        <w:tc>
          <w:tcPr>
            <w:tcW w:type="dxa" w:w="3326"/>
          </w:tcPr>
          <w:p>
            <w:pPr>
              <w:bidi w:val="1"/>
              <w:spacing w:before="0" w:after="0" w:line="264" w:lineRule="auto"/>
            </w:pPr>
            <w:r>
              <w:rPr>
                <w:rFonts w:ascii="Arial" w:hAnsi="Arial" w:cs="Arial" w:eastAsia="Arial"/>
                <w:color w:val="0E1E3A"/>
                <w:sz w:val="17"/>
                <w:szCs w:val="17"/>
              </w:rPr>
              <w:t>‎0.004%‎</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نسبة 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0 ر.س.</w:t>
            </w:r>
          </w:p>
        </w:tc>
        <w:tc>
          <w:tcPr>
            <w:tcW w:type="dxa" w:w="3326"/>
          </w:tcPr>
          <w:p>
            <w:pPr>
              <w:bidi w:val="1"/>
              <w:spacing w:before="0" w:after="0" w:line="264" w:lineRule="auto"/>
            </w:pPr>
            <w:r>
              <w:rPr>
                <w:rFonts w:ascii="Arial" w:hAnsi="Arial" w:cs="Arial" w:eastAsia="Arial"/>
                <w:color w:val="0E1E3A"/>
                <w:sz w:val="17"/>
                <w:szCs w:val="17"/>
              </w:rPr>
              <w:t>‎0.00%‎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*متوسط صافي أصول الصندوق للربع الثاني = 729,039,528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للنمو والدخل"،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5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 جغرافي):</w:t>
      </w:r>
    </w:p>
    <w:p>
      <w:pPr>
        <w:bidi w:val="1"/>
        <w:spacing w:before="0" w:after="80" w:line="240" w:lineRule="auto"/>
        <w:jc w:val="center"/>
      </w:pPr>
      <w:r>
        <w:drawing>
          <wp:inline xmlns:a="http://schemas.openxmlformats.org/drawingml/2006/main" xmlns:pic="http://schemas.openxmlformats.org/drawingml/2006/picture">
            <wp:extent cx="6336000" cy="3015784"/>
            <wp:docPr id="16" name="Picture 9054"/>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3015784"/>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55"/>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shd w:val="clear" w:color="auto" w:fill="12284B"/>
          </w:tcPr>
          <w:p>
            <w:pPr>
              <w:bidi w:val="1"/>
              <w:spacing w:before="0" w:after="0" w:line="264" w:lineRule="auto"/>
            </w:pPr>
            <w:r>
              <w:rPr>
                <w:rFonts w:ascii="Arial" w:hAnsi="Arial" w:cs="Arial" w:eastAsia="Arial"/>
                <w:b/>
                <w:bCs/>
                <w:color w:val="FFFFFF"/>
                <w:sz w:val="15"/>
                <w:szCs w:val="15"/>
                <w:rtl/>
              </w:rPr>
              <w:t>البند</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3 أشهر (نهاية الربع الثاني)</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سنة حتى تاريخه (YTD)</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سنة واحدة</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3 سنوات</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5 سنوات</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منذ بداية الصندوق</w:t>
            </w:r>
          </w:p>
        </w:tc>
      </w:tr>
      <w:tr>
        <w:tc>
          <w:tcPr>
            <w:tcW w:type="dxa" w:w="1425"/>
          </w:tcPr>
          <w:p>
            <w:pPr>
              <w:bidi w:val="1"/>
              <w:spacing w:before="0" w:after="0" w:line="264" w:lineRule="auto"/>
            </w:pPr>
            <w:r>
              <w:rPr>
                <w:rFonts w:ascii="Arial" w:hAnsi="Arial" w:cs="Arial" w:eastAsia="Arial"/>
                <w:color w:val="0E1E3A"/>
                <w:sz w:val="15"/>
                <w:szCs w:val="15"/>
                <w:rtl/>
              </w:rPr>
              <w:t>العائد الكلي لصافي قيمة الوحدة "أداء الصندوق" *</w:t>
            </w:r>
          </w:p>
        </w:tc>
        <w:tc>
          <w:tcPr>
            <w:tcW w:type="dxa" w:w="1425"/>
            <w:noWrap/>
          </w:tcPr>
          <w:p>
            <w:pPr>
              <w:bidi w:val="1"/>
              <w:spacing w:before="0" w:after="0" w:line="264" w:lineRule="auto"/>
            </w:pPr>
            <w:r>
              <w:rPr>
                <w:rFonts w:ascii="Arial" w:hAnsi="Arial" w:cs="Arial" w:eastAsia="Arial"/>
                <w:color w:val="0E1E3A"/>
                <w:sz w:val="15"/>
                <w:szCs w:val="15"/>
              </w:rPr>
              <w:t>‎12.72%‎</w:t>
            </w:r>
          </w:p>
        </w:tc>
        <w:tc>
          <w:tcPr>
            <w:tcW w:type="dxa" w:w="1425"/>
            <w:noWrap/>
          </w:tcPr>
          <w:p>
            <w:pPr>
              <w:bidi w:val="1"/>
              <w:spacing w:before="0" w:after="0" w:line="264" w:lineRule="auto"/>
            </w:pPr>
            <w:r>
              <w:rPr>
                <w:rFonts w:ascii="Arial" w:hAnsi="Arial" w:cs="Arial" w:eastAsia="Arial"/>
                <w:color w:val="0E1E3A"/>
                <w:sz w:val="15"/>
                <w:szCs w:val="15"/>
              </w:rPr>
              <w:t>‎9.88%‎</w:t>
            </w:r>
          </w:p>
        </w:tc>
        <w:tc>
          <w:tcPr>
            <w:tcW w:type="dxa" w:w="1425"/>
            <w:noWrap/>
          </w:tcPr>
          <w:p>
            <w:pPr>
              <w:bidi w:val="1"/>
              <w:spacing w:before="0" w:after="0" w:line="264" w:lineRule="auto"/>
            </w:pPr>
            <w:r>
              <w:rPr>
                <w:rFonts w:ascii="Arial" w:hAnsi="Arial" w:cs="Arial" w:eastAsia="Arial"/>
                <w:color w:val="0E1E3A"/>
                <w:sz w:val="15"/>
                <w:szCs w:val="15"/>
              </w:rPr>
              <w:t>‎24.75%‎</w:t>
            </w:r>
          </w:p>
        </w:tc>
        <w:tc>
          <w:tcPr>
            <w:tcW w:type="dxa" w:w="1425"/>
            <w:noWrap/>
          </w:tcPr>
          <w:p>
            <w:pPr>
              <w:bidi w:val="1"/>
              <w:spacing w:before="0" w:after="0" w:line="264" w:lineRule="auto"/>
            </w:pPr>
            <w:r>
              <w:rPr>
                <w:rFonts w:ascii="Arial" w:hAnsi="Arial" w:cs="Arial" w:eastAsia="Arial"/>
                <w:color w:val="0E1E3A"/>
                <w:sz w:val="15"/>
                <w:szCs w:val="15"/>
              </w:rPr>
              <w:t>‎63.29%‎</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Pr>
              <w:t>‎81.03%‎</w:t>
            </w:r>
          </w:p>
        </w:tc>
      </w:tr>
      <w:tr>
        <w:tc>
          <w:tcPr>
            <w:tcW w:type="dxa" w:w="1425"/>
          </w:tcPr>
          <w:p>
            <w:pPr>
              <w:bidi w:val="1"/>
              <w:spacing w:before="0" w:after="0" w:line="264" w:lineRule="auto"/>
            </w:pPr>
            <w:r>
              <w:rPr>
                <w:rFonts w:ascii="Arial" w:hAnsi="Arial" w:cs="Arial" w:eastAsia="Arial"/>
                <w:color w:val="0E1E3A"/>
                <w:sz w:val="15"/>
                <w:szCs w:val="15"/>
                <w:rtl/>
              </w:rPr>
              <w:t>أداء المؤشر الاسترشادي</w:t>
            </w:r>
          </w:p>
        </w:tc>
        <w:tc>
          <w:tcPr>
            <w:tcW w:type="dxa" w:w="1425"/>
            <w:noWrap/>
          </w:tcPr>
          <w:p>
            <w:pPr>
              <w:bidi w:val="1"/>
              <w:spacing w:before="0" w:after="0" w:line="264" w:lineRule="auto"/>
            </w:pPr>
            <w:r>
              <w:rPr>
                <w:rFonts w:ascii="Arial" w:hAnsi="Arial" w:cs="Arial" w:eastAsia="Arial"/>
                <w:color w:val="0E1E3A"/>
                <w:sz w:val="15"/>
                <w:szCs w:val="15"/>
              </w:rPr>
              <w:t>‎12.22%‎</w:t>
            </w:r>
          </w:p>
        </w:tc>
        <w:tc>
          <w:tcPr>
            <w:tcW w:type="dxa" w:w="1425"/>
            <w:noWrap/>
          </w:tcPr>
          <w:p>
            <w:pPr>
              <w:bidi w:val="1"/>
              <w:spacing w:before="0" w:after="0" w:line="264" w:lineRule="auto"/>
            </w:pPr>
            <w:r>
              <w:rPr>
                <w:rFonts w:ascii="Arial" w:hAnsi="Arial" w:cs="Arial" w:eastAsia="Arial"/>
                <w:color w:val="0E1E3A"/>
                <w:sz w:val="15"/>
                <w:szCs w:val="15"/>
              </w:rPr>
              <w:t>‎10.83%‎</w:t>
            </w:r>
          </w:p>
        </w:tc>
        <w:tc>
          <w:tcPr>
            <w:tcW w:type="dxa" w:w="1425"/>
            <w:noWrap/>
          </w:tcPr>
          <w:p>
            <w:pPr>
              <w:bidi w:val="1"/>
              <w:spacing w:before="0" w:after="0" w:line="264" w:lineRule="auto"/>
            </w:pPr>
            <w:r>
              <w:rPr>
                <w:rFonts w:ascii="Arial" w:hAnsi="Arial" w:cs="Arial" w:eastAsia="Arial"/>
                <w:color w:val="0E1E3A"/>
                <w:sz w:val="15"/>
                <w:szCs w:val="15"/>
              </w:rPr>
              <w:t>‎26.12%‎</w:t>
            </w:r>
          </w:p>
        </w:tc>
        <w:tc>
          <w:tcPr>
            <w:tcW w:type="dxa" w:w="1425"/>
            <w:noWrap/>
          </w:tcPr>
          <w:p>
            <w:pPr>
              <w:bidi w:val="1"/>
              <w:spacing w:before="0" w:after="0" w:line="264" w:lineRule="auto"/>
            </w:pPr>
            <w:r>
              <w:rPr>
                <w:rFonts w:ascii="Arial" w:hAnsi="Arial" w:cs="Arial" w:eastAsia="Arial"/>
                <w:color w:val="0E1E3A"/>
                <w:sz w:val="15"/>
                <w:szCs w:val="15"/>
              </w:rPr>
              <w:t>‎53.66%‎</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Pr>
              <w:t>‎66.91%‎</w:t>
            </w:r>
          </w:p>
        </w:tc>
      </w:tr>
      <w:tr>
        <w:tc>
          <w:tcPr>
            <w:tcW w:type="dxa" w:w="1425"/>
          </w:tcPr>
          <w:p>
            <w:pPr>
              <w:bidi w:val="1"/>
              <w:spacing w:before="0" w:after="0" w:line="264" w:lineRule="auto"/>
            </w:pPr>
            <w:r>
              <w:rPr>
                <w:rFonts w:ascii="Arial" w:hAnsi="Arial" w:cs="Arial" w:eastAsia="Arial"/>
                <w:color w:val="0E1E3A"/>
                <w:sz w:val="15"/>
                <w:szCs w:val="15"/>
                <w:rtl/>
              </w:rPr>
              <w:t>فارق الأداء</w:t>
            </w:r>
          </w:p>
        </w:tc>
        <w:tc>
          <w:tcPr>
            <w:tcW w:type="dxa" w:w="1425"/>
            <w:noWrap/>
          </w:tcPr>
          <w:p>
            <w:pPr>
              <w:bidi w:val="1"/>
              <w:spacing w:before="0" w:after="0" w:line="264" w:lineRule="auto"/>
            </w:pPr>
            <w:r>
              <w:rPr>
                <w:rFonts w:ascii="Arial" w:hAnsi="Arial" w:cs="Arial" w:eastAsia="Arial"/>
                <w:color w:val="0E1E3A"/>
                <w:sz w:val="15"/>
                <w:szCs w:val="15"/>
              </w:rPr>
              <w:t>‎0.50%‎</w:t>
            </w:r>
          </w:p>
        </w:tc>
        <w:tc>
          <w:tcPr>
            <w:tcW w:type="dxa" w:w="1425"/>
            <w:noWrap/>
          </w:tcPr>
          <w:p>
            <w:pPr>
              <w:bidi w:val="1"/>
              <w:spacing w:before="0" w:after="0" w:line="264" w:lineRule="auto"/>
            </w:pPr>
            <w:r>
              <w:rPr>
                <w:rFonts w:ascii="Arial" w:hAnsi="Arial" w:cs="Arial" w:eastAsia="Arial"/>
                <w:color w:val="0E1E3A"/>
                <w:sz w:val="15"/>
                <w:szCs w:val="15"/>
              </w:rPr>
              <w:t>‎-0.95%‎</w:t>
            </w:r>
          </w:p>
        </w:tc>
        <w:tc>
          <w:tcPr>
            <w:tcW w:type="dxa" w:w="1425"/>
            <w:noWrap/>
          </w:tcPr>
          <w:p>
            <w:pPr>
              <w:bidi w:val="1"/>
              <w:spacing w:before="0" w:after="0" w:line="264" w:lineRule="auto"/>
            </w:pPr>
            <w:r>
              <w:rPr>
                <w:rFonts w:ascii="Arial" w:hAnsi="Arial" w:cs="Arial" w:eastAsia="Arial"/>
                <w:color w:val="0E1E3A"/>
                <w:sz w:val="15"/>
                <w:szCs w:val="15"/>
              </w:rPr>
              <w:t>‎-1.37%‎</w:t>
            </w:r>
          </w:p>
        </w:tc>
        <w:tc>
          <w:tcPr>
            <w:tcW w:type="dxa" w:w="1425"/>
            <w:noWrap/>
          </w:tcPr>
          <w:p>
            <w:pPr>
              <w:bidi w:val="1"/>
              <w:spacing w:before="0" w:after="0" w:line="264" w:lineRule="auto"/>
            </w:pPr>
            <w:r>
              <w:rPr>
                <w:rFonts w:ascii="Arial" w:hAnsi="Arial" w:cs="Arial" w:eastAsia="Arial"/>
                <w:color w:val="0E1E3A"/>
                <w:sz w:val="15"/>
                <w:szCs w:val="15"/>
              </w:rPr>
              <w:t>‎9.63%‎</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Pr>
              <w:t>‎14.12%‎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shd w:val="clear" w:color="auto" w:fill="12284B"/>
          </w:tcPr>
          <w:p>
            <w:pPr>
              <w:bidi w:val="1"/>
              <w:spacing w:before="0" w:after="0" w:line="264" w:lineRule="auto"/>
            </w:pPr>
            <w:r>
              <w:rPr>
                <w:rFonts w:ascii="Arial" w:hAnsi="Arial" w:cs="Arial" w:eastAsia="Arial"/>
                <w:b/>
                <w:bCs/>
                <w:color w:val="FFFFFF"/>
                <w:sz w:val="15"/>
                <w:szCs w:val="15"/>
                <w:rtl/>
              </w:rPr>
              <w:t>معايير الأداء والمخاطر</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3 أشهر (نهاية الربع الثاني)</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سنة حتى تاريخه (YTD)</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سنة واحدة</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3 سنوات</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5 سنوات</w:t>
            </w:r>
          </w:p>
        </w:tc>
        <w:tc>
          <w:tcPr>
            <w:tcW w:type="dxa" w:w="1425"/>
            <w:shd w:val="clear" w:color="auto" w:fill="12284B"/>
          </w:tcPr>
          <w:p>
            <w:pPr>
              <w:bidi w:val="1"/>
              <w:spacing w:before="0" w:after="0" w:line="264" w:lineRule="auto"/>
            </w:pPr>
            <w:r>
              <w:rPr>
                <w:rFonts w:ascii="Arial" w:hAnsi="Arial" w:cs="Arial" w:eastAsia="Arial"/>
                <w:b/>
                <w:bCs/>
                <w:color w:val="FFFFFF"/>
                <w:sz w:val="15"/>
                <w:szCs w:val="15"/>
                <w:rtl/>
              </w:rPr>
              <w:t>منذ بداية الصندوق</w:t>
            </w:r>
          </w:p>
        </w:tc>
      </w:tr>
      <w:tr>
        <w:tc>
          <w:tcPr>
            <w:tcW w:type="dxa" w:w="1425"/>
          </w:tcPr>
          <w:p>
            <w:pPr>
              <w:bidi w:val="1"/>
              <w:spacing w:before="0" w:after="0" w:line="264" w:lineRule="auto"/>
            </w:pPr>
            <w:r>
              <w:rPr>
                <w:rFonts w:ascii="Arial" w:hAnsi="Arial" w:cs="Arial" w:eastAsia="Arial"/>
                <w:color w:val="0E1E3A"/>
                <w:sz w:val="15"/>
                <w:szCs w:val="15"/>
                <w:rtl/>
              </w:rPr>
              <w:t>الانحراف المعياري</w:t>
            </w:r>
          </w:p>
        </w:tc>
        <w:tc>
          <w:tcPr>
            <w:tcW w:type="dxa" w:w="1425"/>
            <w:noWrap/>
          </w:tcPr>
          <w:p>
            <w:pPr>
              <w:bidi w:val="1"/>
              <w:spacing w:before="0" w:after="0" w:line="264" w:lineRule="auto"/>
            </w:pPr>
            <w:r>
              <w:rPr>
                <w:rFonts w:ascii="Arial" w:hAnsi="Arial" w:cs="Arial" w:eastAsia="Arial"/>
                <w:color w:val="0E1E3A"/>
                <w:sz w:val="15"/>
                <w:szCs w:val="15"/>
                <w:rtl/>
              </w:rPr>
              <w:t>14.44</w:t>
            </w:r>
          </w:p>
        </w:tc>
        <w:tc>
          <w:tcPr>
            <w:tcW w:type="dxa" w:w="1425"/>
            <w:noWrap/>
          </w:tcPr>
          <w:p>
            <w:pPr>
              <w:bidi w:val="1"/>
              <w:spacing w:before="0" w:after="0" w:line="264" w:lineRule="auto"/>
            </w:pPr>
            <w:r>
              <w:rPr>
                <w:rFonts w:ascii="Arial" w:hAnsi="Arial" w:cs="Arial" w:eastAsia="Arial"/>
                <w:color w:val="0E1E3A"/>
                <w:sz w:val="15"/>
                <w:szCs w:val="15"/>
                <w:rtl/>
              </w:rPr>
              <w:t>14.24</w:t>
            </w:r>
          </w:p>
        </w:tc>
        <w:tc>
          <w:tcPr>
            <w:tcW w:type="dxa" w:w="1425"/>
            <w:noWrap/>
          </w:tcPr>
          <w:p>
            <w:pPr>
              <w:bidi w:val="1"/>
              <w:spacing w:before="0" w:after="0" w:line="264" w:lineRule="auto"/>
            </w:pPr>
            <w:r>
              <w:rPr>
                <w:rFonts w:ascii="Arial" w:hAnsi="Arial" w:cs="Arial" w:eastAsia="Arial"/>
                <w:color w:val="0E1E3A"/>
                <w:sz w:val="15"/>
                <w:szCs w:val="15"/>
                <w:rtl/>
              </w:rPr>
              <w:t>12.54</w:t>
            </w:r>
          </w:p>
        </w:tc>
        <w:tc>
          <w:tcPr>
            <w:tcW w:type="dxa" w:w="1425"/>
            <w:noWrap/>
          </w:tcPr>
          <w:p>
            <w:pPr>
              <w:bidi w:val="1"/>
              <w:spacing w:before="0" w:after="0" w:line="264" w:lineRule="auto"/>
            </w:pPr>
            <w:r>
              <w:rPr>
                <w:rFonts w:ascii="Arial" w:hAnsi="Arial" w:cs="Arial" w:eastAsia="Arial"/>
                <w:color w:val="0E1E3A"/>
                <w:sz w:val="15"/>
                <w:szCs w:val="15"/>
                <w:rtl/>
              </w:rPr>
              <w:t>13.44</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tl/>
              </w:rPr>
              <w:t>14.11</w:t>
            </w:r>
          </w:p>
        </w:tc>
      </w:tr>
      <w:tr>
        <w:tc>
          <w:tcPr>
            <w:tcW w:type="dxa" w:w="1425"/>
          </w:tcPr>
          <w:p>
            <w:pPr>
              <w:bidi w:val="1"/>
              <w:spacing w:before="0" w:after="0" w:line="264" w:lineRule="auto"/>
            </w:pPr>
            <w:r>
              <w:rPr>
                <w:rFonts w:ascii="Arial" w:hAnsi="Arial" w:cs="Arial" w:eastAsia="Arial"/>
                <w:color w:val="0E1E3A"/>
                <w:sz w:val="15"/>
                <w:szCs w:val="15"/>
                <w:rtl/>
              </w:rPr>
              <w:t>مؤشر شارب</w:t>
            </w:r>
          </w:p>
        </w:tc>
        <w:tc>
          <w:tcPr>
            <w:tcW w:type="dxa" w:w="1425"/>
            <w:noWrap/>
          </w:tcPr>
          <w:p>
            <w:pPr>
              <w:bidi w:val="1"/>
              <w:spacing w:before="0" w:after="0" w:line="264" w:lineRule="auto"/>
            </w:pPr>
            <w:r>
              <w:rPr>
                <w:rFonts w:ascii="Arial" w:hAnsi="Arial" w:cs="Arial" w:eastAsia="Arial"/>
                <w:color w:val="0E1E3A"/>
                <w:sz w:val="15"/>
                <w:szCs w:val="15"/>
                <w:rtl/>
              </w:rPr>
              <w:t>3.99</w:t>
            </w:r>
          </w:p>
        </w:tc>
        <w:tc>
          <w:tcPr>
            <w:tcW w:type="dxa" w:w="1425"/>
            <w:noWrap/>
          </w:tcPr>
          <w:p>
            <w:pPr>
              <w:bidi w:val="1"/>
              <w:spacing w:before="0" w:after="0" w:line="264" w:lineRule="auto"/>
            </w:pPr>
            <w:r>
              <w:rPr>
                <w:rFonts w:ascii="Arial" w:hAnsi="Arial" w:cs="Arial" w:eastAsia="Arial"/>
                <w:color w:val="0E1E3A"/>
                <w:sz w:val="15"/>
                <w:szCs w:val="15"/>
                <w:rtl/>
              </w:rPr>
              <w:t>1.13</w:t>
            </w:r>
          </w:p>
        </w:tc>
        <w:tc>
          <w:tcPr>
            <w:tcW w:type="dxa" w:w="1425"/>
            <w:noWrap/>
          </w:tcPr>
          <w:p>
            <w:pPr>
              <w:bidi w:val="1"/>
              <w:spacing w:before="0" w:after="0" w:line="264" w:lineRule="auto"/>
            </w:pPr>
            <w:r>
              <w:rPr>
                <w:rFonts w:ascii="Arial" w:hAnsi="Arial" w:cs="Arial" w:eastAsia="Arial"/>
                <w:color w:val="0E1E3A"/>
                <w:sz w:val="15"/>
                <w:szCs w:val="15"/>
                <w:rtl/>
              </w:rPr>
              <w:t>1.57</w:t>
            </w:r>
          </w:p>
        </w:tc>
        <w:tc>
          <w:tcPr>
            <w:tcW w:type="dxa" w:w="1425"/>
            <w:noWrap/>
          </w:tcPr>
          <w:p>
            <w:pPr>
              <w:bidi w:val="1"/>
              <w:spacing w:before="0" w:after="0" w:line="264" w:lineRule="auto"/>
            </w:pPr>
            <w:r>
              <w:rPr>
                <w:rFonts w:ascii="Arial" w:hAnsi="Arial" w:cs="Arial" w:eastAsia="Arial"/>
                <w:color w:val="0E1E3A"/>
                <w:sz w:val="15"/>
                <w:szCs w:val="15"/>
                <w:rtl/>
              </w:rPr>
              <w:t>0.91</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tl/>
              </w:rPr>
              <w:t>0.70</w:t>
            </w:r>
          </w:p>
        </w:tc>
      </w:tr>
      <w:tr>
        <w:tc>
          <w:tcPr>
            <w:tcW w:type="dxa" w:w="1425"/>
          </w:tcPr>
          <w:p>
            <w:pPr>
              <w:bidi w:val="1"/>
              <w:spacing w:before="0" w:after="0" w:line="264" w:lineRule="auto"/>
            </w:pPr>
            <w:r>
              <w:rPr>
                <w:rFonts w:ascii="Arial" w:hAnsi="Arial" w:cs="Arial" w:eastAsia="Arial"/>
                <w:color w:val="0E1E3A"/>
                <w:sz w:val="15"/>
                <w:szCs w:val="15"/>
                <w:rtl/>
              </w:rPr>
              <w:t>خطأ التتبع (Tracking Error)</w:t>
            </w:r>
          </w:p>
        </w:tc>
        <w:tc>
          <w:tcPr>
            <w:tcW w:type="dxa" w:w="1425"/>
            <w:noWrap/>
          </w:tcPr>
          <w:p>
            <w:pPr>
              <w:bidi w:val="1"/>
              <w:spacing w:before="0" w:after="0" w:line="264" w:lineRule="auto"/>
            </w:pPr>
            <w:r>
              <w:rPr>
                <w:rFonts w:ascii="Arial" w:hAnsi="Arial" w:cs="Arial" w:eastAsia="Arial"/>
                <w:color w:val="0E1E3A"/>
                <w:sz w:val="15"/>
                <w:szCs w:val="15"/>
                <w:rtl/>
              </w:rPr>
              <w:t>1.87</w:t>
            </w:r>
          </w:p>
        </w:tc>
        <w:tc>
          <w:tcPr>
            <w:tcW w:type="dxa" w:w="1425"/>
            <w:noWrap/>
          </w:tcPr>
          <w:p>
            <w:pPr>
              <w:bidi w:val="1"/>
              <w:spacing w:before="0" w:after="0" w:line="264" w:lineRule="auto"/>
            </w:pPr>
            <w:r>
              <w:rPr>
                <w:rFonts w:ascii="Arial" w:hAnsi="Arial" w:cs="Arial" w:eastAsia="Arial"/>
                <w:color w:val="0E1E3A"/>
                <w:sz w:val="15"/>
                <w:szCs w:val="15"/>
                <w:rtl/>
              </w:rPr>
              <w:t>2.15</w:t>
            </w:r>
          </w:p>
        </w:tc>
        <w:tc>
          <w:tcPr>
            <w:tcW w:type="dxa" w:w="1425"/>
            <w:noWrap/>
          </w:tcPr>
          <w:p>
            <w:pPr>
              <w:bidi w:val="1"/>
              <w:spacing w:before="0" w:after="0" w:line="264" w:lineRule="auto"/>
            </w:pPr>
            <w:r>
              <w:rPr>
                <w:rFonts w:ascii="Arial" w:hAnsi="Arial" w:cs="Arial" w:eastAsia="Arial"/>
                <w:color w:val="0E1E3A"/>
                <w:sz w:val="15"/>
                <w:szCs w:val="15"/>
                <w:rtl/>
              </w:rPr>
              <w:t>1.86</w:t>
            </w:r>
          </w:p>
        </w:tc>
        <w:tc>
          <w:tcPr>
            <w:tcW w:type="dxa" w:w="1425"/>
            <w:noWrap/>
          </w:tcPr>
          <w:p>
            <w:pPr>
              <w:bidi w:val="1"/>
              <w:spacing w:before="0" w:after="0" w:line="264" w:lineRule="auto"/>
            </w:pPr>
            <w:r>
              <w:rPr>
                <w:rFonts w:ascii="Arial" w:hAnsi="Arial" w:cs="Arial" w:eastAsia="Arial"/>
                <w:color w:val="0E1E3A"/>
                <w:sz w:val="15"/>
                <w:szCs w:val="15"/>
                <w:rtl/>
              </w:rPr>
              <w:t>5.61</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tl/>
              </w:rPr>
              <w:t>9.23</w:t>
            </w:r>
          </w:p>
        </w:tc>
      </w:tr>
      <w:tr>
        <w:tc>
          <w:tcPr>
            <w:tcW w:type="dxa" w:w="1425"/>
          </w:tcPr>
          <w:p>
            <w:pPr>
              <w:bidi w:val="1"/>
              <w:spacing w:before="0" w:after="0" w:line="264" w:lineRule="auto"/>
            </w:pPr>
            <w:r>
              <w:rPr>
                <w:rFonts w:ascii="Arial" w:hAnsi="Arial" w:cs="Arial" w:eastAsia="Arial"/>
                <w:color w:val="0E1E3A"/>
                <w:sz w:val="15"/>
                <w:szCs w:val="15"/>
                <w:rtl/>
              </w:rPr>
              <w:t>بيتا (Beta)</w:t>
            </w:r>
          </w:p>
        </w:tc>
        <w:tc>
          <w:tcPr>
            <w:tcW w:type="dxa" w:w="1425"/>
            <w:noWrap/>
          </w:tcPr>
          <w:p>
            <w:pPr>
              <w:bidi w:val="1"/>
              <w:spacing w:before="0" w:after="0" w:line="264" w:lineRule="auto"/>
            </w:pPr>
            <w:r>
              <w:rPr>
                <w:rFonts w:ascii="Arial" w:hAnsi="Arial" w:cs="Arial" w:eastAsia="Arial"/>
                <w:color w:val="0E1E3A"/>
                <w:sz w:val="15"/>
                <w:szCs w:val="15"/>
                <w:rtl/>
              </w:rPr>
              <w:t>0.99</w:t>
            </w:r>
          </w:p>
        </w:tc>
        <w:tc>
          <w:tcPr>
            <w:tcW w:type="dxa" w:w="1425"/>
            <w:noWrap/>
          </w:tcPr>
          <w:p>
            <w:pPr>
              <w:bidi w:val="1"/>
              <w:spacing w:before="0" w:after="0" w:line="264" w:lineRule="auto"/>
            </w:pPr>
            <w:r>
              <w:rPr>
                <w:rFonts w:ascii="Arial" w:hAnsi="Arial" w:cs="Arial" w:eastAsia="Arial"/>
                <w:color w:val="0E1E3A"/>
                <w:sz w:val="15"/>
                <w:szCs w:val="15"/>
                <w:rtl/>
              </w:rPr>
              <w:t>1.00</w:t>
            </w:r>
          </w:p>
        </w:tc>
        <w:tc>
          <w:tcPr>
            <w:tcW w:type="dxa" w:w="1425"/>
            <w:noWrap/>
          </w:tcPr>
          <w:p>
            <w:pPr>
              <w:bidi w:val="1"/>
              <w:spacing w:before="0" w:after="0" w:line="264" w:lineRule="auto"/>
            </w:pPr>
            <w:r>
              <w:rPr>
                <w:rFonts w:ascii="Arial" w:hAnsi="Arial" w:cs="Arial" w:eastAsia="Arial"/>
                <w:color w:val="0E1E3A"/>
                <w:sz w:val="15"/>
                <w:szCs w:val="15"/>
                <w:rtl/>
              </w:rPr>
              <w:t>0.98</w:t>
            </w:r>
          </w:p>
        </w:tc>
        <w:tc>
          <w:tcPr>
            <w:tcW w:type="dxa" w:w="1425"/>
            <w:noWrap/>
          </w:tcPr>
          <w:p>
            <w:pPr>
              <w:bidi w:val="1"/>
              <w:spacing w:before="0" w:after="0" w:line="264" w:lineRule="auto"/>
            </w:pPr>
            <w:r>
              <w:rPr>
                <w:rFonts w:ascii="Arial" w:hAnsi="Arial" w:cs="Arial" w:eastAsia="Arial"/>
                <w:color w:val="0E1E3A"/>
                <w:sz w:val="15"/>
                <w:szCs w:val="15"/>
                <w:rtl/>
              </w:rPr>
              <w:t>0.93</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tl/>
              </w:rPr>
              <w:t>0.76</w:t>
            </w:r>
          </w:p>
        </w:tc>
      </w:tr>
      <w:tr>
        <w:tc>
          <w:tcPr>
            <w:tcW w:type="dxa" w:w="1425"/>
          </w:tcPr>
          <w:p>
            <w:pPr>
              <w:bidi w:val="1"/>
              <w:spacing w:before="0" w:after="0" w:line="264" w:lineRule="auto"/>
            </w:pPr>
            <w:r>
              <w:rPr>
                <w:rFonts w:ascii="Arial" w:hAnsi="Arial" w:cs="Arial" w:eastAsia="Arial"/>
                <w:color w:val="0E1E3A"/>
                <w:sz w:val="15"/>
                <w:szCs w:val="15"/>
                <w:rtl/>
              </w:rPr>
              <w:t>ألفا (Alpha)</w:t>
            </w:r>
          </w:p>
        </w:tc>
        <w:tc>
          <w:tcPr>
            <w:tcW w:type="dxa" w:w="1425"/>
            <w:noWrap/>
          </w:tcPr>
          <w:p>
            <w:pPr>
              <w:bidi w:val="1"/>
              <w:spacing w:before="0" w:after="0" w:line="264" w:lineRule="auto"/>
            </w:pPr>
            <w:r>
              <w:rPr>
                <w:rFonts w:ascii="Arial" w:hAnsi="Arial" w:cs="Arial" w:eastAsia="Arial"/>
                <w:color w:val="0E1E3A"/>
                <w:sz w:val="15"/>
                <w:szCs w:val="15"/>
              </w:rPr>
              <w:t>‎2.27%‎</w:t>
            </w:r>
          </w:p>
        </w:tc>
        <w:tc>
          <w:tcPr>
            <w:tcW w:type="dxa" w:w="1425"/>
            <w:noWrap/>
          </w:tcPr>
          <w:p>
            <w:pPr>
              <w:bidi w:val="1"/>
              <w:spacing w:before="0" w:after="0" w:line="264" w:lineRule="auto"/>
            </w:pPr>
            <w:r>
              <w:rPr>
                <w:rFonts w:ascii="Arial" w:hAnsi="Arial" w:cs="Arial" w:eastAsia="Arial"/>
                <w:color w:val="0E1E3A"/>
                <w:sz w:val="15"/>
                <w:szCs w:val="15"/>
              </w:rPr>
              <w:t>‎-1.95%‎</w:t>
            </w:r>
          </w:p>
        </w:tc>
        <w:tc>
          <w:tcPr>
            <w:tcW w:type="dxa" w:w="1425"/>
            <w:noWrap/>
          </w:tcPr>
          <w:p>
            <w:pPr>
              <w:bidi w:val="1"/>
              <w:spacing w:before="0" w:after="0" w:line="264" w:lineRule="auto"/>
            </w:pPr>
            <w:r>
              <w:rPr>
                <w:rFonts w:ascii="Arial" w:hAnsi="Arial" w:cs="Arial" w:eastAsia="Arial"/>
                <w:color w:val="0E1E3A"/>
                <w:sz w:val="15"/>
                <w:szCs w:val="15"/>
              </w:rPr>
              <w:t>‎-0.97%‎</w:t>
            </w:r>
          </w:p>
        </w:tc>
        <w:tc>
          <w:tcPr>
            <w:tcW w:type="dxa" w:w="1425"/>
            <w:noWrap/>
          </w:tcPr>
          <w:p>
            <w:pPr>
              <w:bidi w:val="1"/>
              <w:spacing w:before="0" w:after="0" w:line="264" w:lineRule="auto"/>
            </w:pPr>
            <w:r>
              <w:rPr>
                <w:rFonts w:ascii="Arial" w:hAnsi="Arial" w:cs="Arial" w:eastAsia="Arial"/>
                <w:color w:val="0E1E3A"/>
                <w:sz w:val="15"/>
                <w:szCs w:val="15"/>
              </w:rPr>
              <w:t>‎3.89%‎</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Pr>
              <w:t>‎5.33%‎</w:t>
            </w:r>
          </w:p>
        </w:tc>
      </w:tr>
      <w:tr>
        <w:tc>
          <w:tcPr>
            <w:tcW w:type="dxa" w:w="1425"/>
          </w:tcPr>
          <w:p>
            <w:pPr>
              <w:bidi w:val="1"/>
              <w:spacing w:before="0" w:after="0" w:line="264" w:lineRule="auto"/>
            </w:pPr>
            <w:r>
              <w:rPr>
                <w:rFonts w:ascii="Arial" w:hAnsi="Arial" w:cs="Arial" w:eastAsia="Arial"/>
                <w:color w:val="0E1E3A"/>
                <w:sz w:val="15"/>
                <w:szCs w:val="15"/>
                <w:rtl/>
              </w:rPr>
              <w:t>مؤشر المعلومات</w:t>
            </w:r>
          </w:p>
        </w:tc>
        <w:tc>
          <w:tcPr>
            <w:tcW w:type="dxa" w:w="1425"/>
            <w:noWrap/>
          </w:tcPr>
          <w:p>
            <w:pPr>
              <w:bidi w:val="1"/>
              <w:spacing w:before="0" w:after="0" w:line="264" w:lineRule="auto"/>
            </w:pPr>
            <w:r>
              <w:rPr>
                <w:rFonts w:ascii="Arial" w:hAnsi="Arial" w:cs="Arial" w:eastAsia="Arial"/>
                <w:color w:val="0E1E3A"/>
                <w:sz w:val="15"/>
                <w:szCs w:val="15"/>
                <w:rtl/>
              </w:rPr>
              <w:t>1.55</w:t>
            </w:r>
          </w:p>
        </w:tc>
        <w:tc>
          <w:tcPr>
            <w:tcW w:type="dxa" w:w="1425"/>
            <w:noWrap/>
          </w:tcPr>
          <w:p>
            <w:pPr>
              <w:bidi w:val="1"/>
              <w:spacing w:before="0" w:after="0" w:line="264" w:lineRule="auto"/>
            </w:pPr>
            <w:r>
              <w:rPr>
                <w:rFonts w:ascii="Arial" w:hAnsi="Arial" w:cs="Arial" w:eastAsia="Arial"/>
                <w:color w:val="0E1E3A"/>
                <w:sz w:val="15"/>
                <w:szCs w:val="15"/>
                <w:rtl/>
              </w:rPr>
              <w:t>-0.99</w:t>
            </w:r>
          </w:p>
        </w:tc>
        <w:tc>
          <w:tcPr>
            <w:tcW w:type="dxa" w:w="1425"/>
            <w:noWrap/>
          </w:tcPr>
          <w:p>
            <w:pPr>
              <w:bidi w:val="1"/>
              <w:spacing w:before="0" w:after="0" w:line="264" w:lineRule="auto"/>
            </w:pPr>
            <w:r>
              <w:rPr>
                <w:rFonts w:ascii="Arial" w:hAnsi="Arial" w:cs="Arial" w:eastAsia="Arial"/>
                <w:color w:val="0E1E3A"/>
                <w:sz w:val="15"/>
                <w:szCs w:val="15"/>
                <w:rtl/>
              </w:rPr>
              <w:t>-0.73</w:t>
            </w:r>
          </w:p>
        </w:tc>
        <w:tc>
          <w:tcPr>
            <w:tcW w:type="dxa" w:w="1425"/>
            <w:noWrap/>
          </w:tcPr>
          <w:p>
            <w:pPr>
              <w:bidi w:val="1"/>
              <w:spacing w:before="0" w:after="0" w:line="264" w:lineRule="auto"/>
            </w:pPr>
            <w:r>
              <w:rPr>
                <w:rFonts w:ascii="Arial" w:hAnsi="Arial" w:cs="Arial" w:eastAsia="Arial"/>
                <w:color w:val="0E1E3A"/>
                <w:sz w:val="15"/>
                <w:szCs w:val="15"/>
                <w:rtl/>
              </w:rPr>
              <w:t>0.42</w:t>
            </w:r>
          </w:p>
        </w:tc>
        <w:tc>
          <w:tcPr>
            <w:tcW w:type="dxa" w:w="1425"/>
          </w:tcPr>
          <w:p>
            <w:pPr>
              <w:bidi w:val="1"/>
              <w:spacing w:before="0" w:after="0" w:line="264" w:lineRule="auto"/>
            </w:pPr>
            <w:r>
              <w:rPr>
                <w:rFonts w:ascii="Arial" w:hAnsi="Arial" w:cs="Arial" w:eastAsia="Arial"/>
                <w:color w:val="0E1E3A"/>
                <w:sz w:val="15"/>
                <w:szCs w:val="15"/>
                <w:rtl/>
              </w:rPr>
              <w:t>لا ينطبق</w:t>
            </w:r>
          </w:p>
        </w:tc>
        <w:tc>
          <w:tcPr>
            <w:tcW w:type="dxa" w:w="1425"/>
            <w:noWrap/>
          </w:tcPr>
          <w:p>
            <w:pPr>
              <w:bidi w:val="1"/>
              <w:spacing w:before="0" w:after="0" w:line="264" w:lineRule="auto"/>
            </w:pPr>
            <w:r>
              <w:rPr>
                <w:rFonts w:ascii="Arial" w:hAnsi="Arial" w:cs="Arial" w:eastAsia="Arial"/>
                <w:color w:val="0E1E3A"/>
                <w:sz w:val="15"/>
                <w:szCs w:val="15"/>
                <w:rtl/>
              </w:rPr>
              <w:t>0.24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تستند جميع حسابات مقاييس الأداء والمخاطر إلى بيانات السلاسل الزمنية اليومية.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Benchmark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benchmark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2" name="Picture 9060"/>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29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61"/>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الثاني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